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8" w:lineRule="auto"/>
        <w:jc w:val="center"/>
        <w:rPr>
          <w:b/>
          <w:sz w:val="28"/>
          <w:szCs w:val="30"/>
        </w:rPr>
      </w:pPr>
      <w: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FgAAAGRycy9QSwECFAAUAAAACACHTuJAy1ZHmtQAAAAIAQAADwAAAAAA&#10;AAABACAAAAA4AAAAZHJzL2Rvd25yZXYueG1sUEsBAhQAFAAAAAgAh07iQLlGXKE6AgAATwQAAA4A&#10;AAAAAAAAAQAgAAAAOQEAAGRycy9lMm9Eb2MueG1sUEsFBgAAAAAGAAYAWQEAAOUFA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default"/>
          <w:b/>
          <w:sz w:val="28"/>
          <w:szCs w:val="30"/>
        </w:rPr>
        <w:t xml:space="preserve"> </w:t>
      </w:r>
      <w:r>
        <w:rPr>
          <w:rFonts w:hint="eastAsia"/>
          <w:b/>
          <w:sz w:val="28"/>
          <w:szCs w:val="30"/>
        </w:rPr>
        <w:t>【奢侈品市场营销管理（英）】</w:t>
      </w:r>
    </w:p>
    <w:p>
      <w:pPr>
        <w:shd w:val="clear" w:color="auto" w:fill="F5F5F5"/>
        <w:jc w:val="center"/>
        <w:textAlignment w:val="top"/>
        <w:rPr>
          <w:rFonts w:ascii="Arial" w:hAnsi="Arial" w:cs="Arial"/>
          <w:color w:val="auto"/>
          <w:kern w:val="0"/>
          <w:sz w:val="22"/>
          <w:szCs w:val="22"/>
        </w:rPr>
      </w:pPr>
      <w:bookmarkStart w:id="0" w:name="a2"/>
      <w:bookmarkEnd w:id="0"/>
      <w:r>
        <w:rPr>
          <w:rFonts w:ascii="Arial" w:hAnsi="Arial" w:cs="Arial"/>
          <w:color w:val="888888"/>
          <w:kern w:val="0"/>
          <w:sz w:val="20"/>
          <w:szCs w:val="20"/>
        </w:rPr>
        <w:t xml:space="preserve">  </w:t>
      </w:r>
      <w:r>
        <w:rPr>
          <w:rFonts w:ascii="Arial" w:hAnsi="Arial" w:cs="Arial"/>
          <w:color w:val="auto"/>
          <w:kern w:val="0"/>
          <w:sz w:val="22"/>
          <w:szCs w:val="22"/>
        </w:rPr>
        <w:t>【Luxury Marketing Management】</w:t>
      </w:r>
    </w:p>
    <w:p>
      <w:pPr>
        <w:spacing w:before="156" w:beforeLines="50" w:after="156" w:afterLines="50" w:line="288" w:lineRule="auto"/>
        <w:ind w:firstLine="360" w:firstLineChars="150"/>
        <w:rPr>
          <w:b/>
          <w:color w:val="008080"/>
          <w:sz w:val="30"/>
          <w:szCs w:val="30"/>
        </w:rPr>
      </w:pPr>
      <w:r>
        <w:rPr>
          <w:rFonts w:ascii="黑体" w:hAnsi="宋体" w:eastAsia="黑体"/>
          <w:sz w:val="24"/>
        </w:rPr>
        <w:t>一</w:t>
      </w:r>
      <w:r>
        <w:rPr>
          <w:rFonts w:hint="eastAsia" w:ascii="黑体" w:hAnsi="宋体" w:eastAsia="黑体"/>
          <w:sz w:val="24"/>
        </w:rPr>
        <w:t>、</w:t>
      </w:r>
      <w:r>
        <w:rPr>
          <w:rFonts w:ascii="黑体" w:hAnsi="宋体" w:eastAsia="黑体"/>
          <w:sz w:val="24"/>
        </w:rPr>
        <w:t>基本信息</w:t>
      </w:r>
    </w:p>
    <w:p>
      <w:pPr>
        <w:snapToGrid w:val="0"/>
        <w:spacing w:line="288" w:lineRule="auto"/>
        <w:ind w:firstLine="392" w:firstLineChars="196"/>
        <w:rPr>
          <w:color w:val="000000"/>
          <w:sz w:val="20"/>
          <w:szCs w:val="20"/>
        </w:rPr>
      </w:pPr>
      <w:r>
        <w:rPr>
          <w:b/>
          <w:bCs/>
          <w:color w:val="000000"/>
          <w:sz w:val="20"/>
          <w:szCs w:val="20"/>
        </w:rPr>
        <w:t>课程代码：</w:t>
      </w:r>
      <w:r>
        <w:rPr>
          <w:rFonts w:hint="eastAsia"/>
          <w:color w:val="000000"/>
          <w:sz w:val="20"/>
          <w:szCs w:val="20"/>
        </w:rPr>
        <w:t>2060681</w:t>
      </w:r>
    </w:p>
    <w:p>
      <w:pPr>
        <w:snapToGrid w:val="0"/>
        <w:spacing w:line="288" w:lineRule="auto"/>
        <w:ind w:firstLine="392" w:firstLineChars="196"/>
        <w:rPr>
          <w:color w:val="000000"/>
          <w:sz w:val="20"/>
          <w:szCs w:val="20"/>
        </w:rPr>
      </w:pPr>
      <w:r>
        <w:rPr>
          <w:b/>
          <w:bCs/>
          <w:color w:val="000000"/>
          <w:sz w:val="20"/>
          <w:szCs w:val="20"/>
        </w:rPr>
        <w:t>课程学分：</w:t>
      </w:r>
      <w:r>
        <w:rPr>
          <w:rFonts w:hint="eastAsia"/>
          <w:color w:val="000000"/>
          <w:sz w:val="20"/>
          <w:szCs w:val="20"/>
        </w:rPr>
        <w:t>2</w:t>
      </w:r>
    </w:p>
    <w:p>
      <w:pPr>
        <w:snapToGrid w:val="0"/>
        <w:spacing w:line="288" w:lineRule="auto"/>
        <w:ind w:firstLine="392" w:firstLineChars="196"/>
        <w:rPr>
          <w:color w:val="000000"/>
          <w:sz w:val="20"/>
          <w:szCs w:val="20"/>
        </w:rPr>
      </w:pPr>
      <w:r>
        <w:rPr>
          <w:b/>
          <w:bCs/>
          <w:color w:val="000000"/>
          <w:sz w:val="20"/>
          <w:szCs w:val="20"/>
        </w:rPr>
        <w:t>面向专业：</w:t>
      </w:r>
      <w:r>
        <w:rPr>
          <w:rFonts w:hint="eastAsia"/>
          <w:color w:val="000000"/>
          <w:sz w:val="20"/>
          <w:szCs w:val="20"/>
        </w:rPr>
        <w:t>工商管理（奢侈品管理）</w:t>
      </w:r>
    </w:p>
    <w:p>
      <w:pPr>
        <w:snapToGrid w:val="0"/>
        <w:spacing w:line="288" w:lineRule="auto"/>
        <w:ind w:firstLine="392" w:firstLineChars="196"/>
        <w:rPr>
          <w:color w:val="000000"/>
          <w:sz w:val="20"/>
          <w:szCs w:val="20"/>
        </w:rPr>
      </w:pPr>
      <w:r>
        <w:rPr>
          <w:b/>
          <w:bCs/>
          <w:color w:val="000000"/>
          <w:sz w:val="20"/>
          <w:szCs w:val="20"/>
        </w:rPr>
        <w:t>课程性质：</w:t>
      </w:r>
      <w:r>
        <w:rPr>
          <w:rFonts w:hint="eastAsia"/>
          <w:color w:val="000000"/>
          <w:sz w:val="20"/>
          <w:szCs w:val="20"/>
        </w:rPr>
        <w:t>系级必修课</w:t>
      </w:r>
    </w:p>
    <w:p>
      <w:pPr>
        <w:snapToGrid w:val="0"/>
        <w:spacing w:line="288" w:lineRule="auto"/>
        <w:ind w:firstLine="392" w:firstLineChars="196"/>
        <w:rPr>
          <w:b/>
          <w:bCs/>
          <w:color w:val="000000"/>
          <w:szCs w:val="21"/>
        </w:rPr>
      </w:pPr>
      <w:r>
        <w:rPr>
          <w:b/>
          <w:bCs/>
          <w:color w:val="000000"/>
          <w:sz w:val="20"/>
          <w:szCs w:val="20"/>
        </w:rPr>
        <w:t>开课院系：</w:t>
      </w:r>
      <w:r>
        <w:rPr>
          <w:rFonts w:hint="eastAsia"/>
          <w:b w:val="0"/>
          <w:bCs w:val="0"/>
          <w:color w:val="000000"/>
          <w:sz w:val="20"/>
          <w:szCs w:val="20"/>
        </w:rPr>
        <w:t>珠宝学院</w:t>
      </w:r>
      <w:r>
        <w:rPr>
          <w:rFonts w:hint="eastAsia"/>
          <w:color w:val="000000"/>
          <w:sz w:val="20"/>
          <w:szCs w:val="20"/>
        </w:rPr>
        <w:t>工商管理（奢侈品管理）</w:t>
      </w:r>
    </w:p>
    <w:p>
      <w:pPr>
        <w:widowControl/>
        <w:jc w:val="left"/>
        <w:rPr>
          <w:b/>
          <w:bCs/>
          <w:color w:val="000000"/>
          <w:sz w:val="20"/>
          <w:szCs w:val="20"/>
        </w:rPr>
      </w:pPr>
      <w:r>
        <w:rPr>
          <w:b/>
          <w:bCs/>
          <w:color w:val="000000"/>
          <w:sz w:val="20"/>
          <w:szCs w:val="20"/>
        </w:rPr>
        <w:t>使用教材：</w:t>
      </w:r>
    </w:p>
    <w:p>
      <w:pPr>
        <w:widowControl/>
        <w:jc w:val="left"/>
        <w:rPr>
          <w:b/>
          <w:bCs/>
          <w:color w:val="000000"/>
          <w:sz w:val="20"/>
          <w:szCs w:val="20"/>
        </w:rPr>
      </w:pPr>
      <w:r>
        <w:rPr>
          <w:color w:val="000000"/>
          <w:sz w:val="20"/>
          <w:szCs w:val="20"/>
        </w:rPr>
        <w:t>教材</w:t>
      </w:r>
    </w:p>
    <w:p>
      <w:pPr>
        <w:widowControl/>
        <w:jc w:val="left"/>
        <w:rPr>
          <w:rFonts w:hint="default" w:cs="Calibri"/>
          <w:color w:val="000000"/>
          <w:kern w:val="0"/>
          <w:sz w:val="20"/>
          <w:szCs w:val="20"/>
          <w:lang w:eastAsia="zh-Hans"/>
        </w:rPr>
      </w:pPr>
      <w:r>
        <w:rPr>
          <w:rFonts w:hint="default" w:cs="Calibri"/>
          <w:color w:val="000000"/>
          <w:kern w:val="0"/>
          <w:sz w:val="20"/>
          <w:szCs w:val="20"/>
          <w:lang w:eastAsia="zh-Hans"/>
        </w:rPr>
        <w:t>【《</w:t>
      </w:r>
      <w:r>
        <w:rPr>
          <w:rFonts w:hint="default" w:cs="Calibri"/>
          <w:color w:val="000000"/>
          <w:kern w:val="0"/>
          <w:sz w:val="20"/>
          <w:szCs w:val="20"/>
          <w:lang w:val="en-US" w:eastAsia="zh-Hans"/>
        </w:rPr>
        <w:t>Luxury Marketing &amp; Management: Tools &amp; Strategies to Manage Luxury Products in a Profitable &amp; Sustainable Fashion</w:t>
      </w:r>
      <w:r>
        <w:rPr>
          <w:rFonts w:hint="default" w:cs="Calibri"/>
          <w:color w:val="000000"/>
          <w:kern w:val="0"/>
          <w:sz w:val="20"/>
          <w:szCs w:val="20"/>
          <w:lang w:eastAsia="zh-Hans"/>
        </w:rPr>
        <w:t>》</w:t>
      </w:r>
      <w:r>
        <w:rPr>
          <w:rFonts w:hint="default" w:cs="Calibri"/>
          <w:color w:val="000000"/>
          <w:kern w:val="0"/>
          <w:sz w:val="20"/>
          <w:szCs w:val="20"/>
          <w:lang w:val="en-US" w:eastAsia="zh-Hans"/>
        </w:rPr>
        <w:t>,</w:t>
      </w:r>
      <w:r>
        <w:rPr>
          <w:rFonts w:hint="eastAsia" w:cs="Calibri"/>
          <w:color w:val="000000"/>
          <w:kern w:val="0"/>
          <w:sz w:val="20"/>
          <w:szCs w:val="20"/>
          <w:lang w:val="en-US" w:eastAsia="zh-Hans"/>
        </w:rPr>
        <w:t>Dr</w:t>
      </w:r>
      <w:r>
        <w:rPr>
          <w:rFonts w:hint="default" w:cs="Calibri"/>
          <w:color w:val="000000"/>
          <w:kern w:val="0"/>
          <w:sz w:val="20"/>
          <w:szCs w:val="20"/>
          <w:lang w:val="en-US" w:eastAsia="zh-Hans"/>
        </w:rPr>
        <w:t xml:space="preserve">. Daniel A. Lamger, Sept. 2012 (second edition), </w:t>
      </w:r>
      <w:r>
        <w:rPr>
          <w:rFonts w:cs="Calibri"/>
          <w:color w:val="000000"/>
          <w:kern w:val="0"/>
          <w:sz w:val="20"/>
          <w:szCs w:val="20"/>
        </w:rPr>
        <w:t xml:space="preserve">ISBN-13: </w:t>
      </w:r>
      <w:r>
        <w:rPr>
          <w:rFonts w:hint="eastAsia" w:cs="Calibri"/>
          <w:color w:val="000000"/>
          <w:kern w:val="0"/>
          <w:sz w:val="20"/>
          <w:szCs w:val="20"/>
          <w:lang w:val="en-US" w:eastAsia="zh-Hans"/>
        </w:rPr>
        <w:t>978</w:t>
      </w:r>
      <w:r>
        <w:rPr>
          <w:rFonts w:hint="default" w:cs="Calibri"/>
          <w:color w:val="000000"/>
          <w:kern w:val="0"/>
          <w:sz w:val="20"/>
          <w:szCs w:val="20"/>
          <w:lang w:eastAsia="zh-Hans"/>
        </w:rPr>
        <w:t>-</w:t>
      </w:r>
      <w:r>
        <w:rPr>
          <w:rFonts w:hint="eastAsia" w:cs="Calibri"/>
          <w:color w:val="000000"/>
          <w:kern w:val="0"/>
          <w:sz w:val="20"/>
          <w:szCs w:val="20"/>
          <w:lang w:val="en-US" w:eastAsia="zh-Hans"/>
        </w:rPr>
        <w:t>1492976455</w:t>
      </w:r>
      <w:r>
        <w:rPr>
          <w:rFonts w:hint="default" w:cs="Calibri"/>
          <w:color w:val="000000"/>
          <w:kern w:val="0"/>
          <w:sz w:val="20"/>
          <w:szCs w:val="20"/>
          <w:lang w:val="en-US" w:eastAsia="zh-Hans"/>
        </w:rPr>
        <w:t xml:space="preserve"> </w:t>
      </w:r>
      <w:r>
        <w:rPr>
          <w:rFonts w:hint="default" w:cs="Calibri"/>
          <w:color w:val="000000"/>
          <w:kern w:val="0"/>
          <w:sz w:val="20"/>
          <w:szCs w:val="20"/>
          <w:lang w:eastAsia="zh-Hans"/>
        </w:rPr>
        <w:t>】</w:t>
      </w:r>
    </w:p>
    <w:p>
      <w:pPr>
        <w:widowControl/>
        <w:jc w:val="left"/>
        <w:rPr>
          <w:rFonts w:hint="default" w:cs="Calibri"/>
          <w:color w:val="000000"/>
          <w:kern w:val="0"/>
          <w:sz w:val="20"/>
          <w:szCs w:val="20"/>
          <w:lang w:eastAsia="zh-Hans"/>
        </w:rPr>
      </w:pPr>
      <w:r>
        <w:rPr>
          <w:rFonts w:hint="default" w:cs="Calibri"/>
          <w:color w:val="000000"/>
          <w:kern w:val="0"/>
          <w:sz w:val="20"/>
          <w:szCs w:val="20"/>
          <w:lang w:eastAsia="zh-Hans"/>
        </w:rPr>
        <w:t>【《</w:t>
      </w:r>
      <w:r>
        <w:rPr>
          <w:rFonts w:hint="eastAsia" w:cs="Calibri"/>
          <w:color w:val="000000"/>
          <w:kern w:val="0"/>
          <w:sz w:val="20"/>
          <w:szCs w:val="20"/>
          <w:lang w:val="en-US" w:eastAsia="zh-Hans"/>
        </w:rPr>
        <w:t>奢侈品营销与管理</w:t>
      </w:r>
      <w:r>
        <w:rPr>
          <w:rFonts w:hint="default" w:cs="Calibri"/>
          <w:color w:val="000000"/>
          <w:kern w:val="0"/>
          <w:sz w:val="20"/>
          <w:szCs w:val="20"/>
          <w:lang w:eastAsia="zh-Hans"/>
        </w:rPr>
        <w:t>》</w:t>
      </w:r>
      <w:r>
        <w:rPr>
          <w:rFonts w:hint="eastAsia" w:cs="Calibri"/>
          <w:color w:val="000000"/>
          <w:kern w:val="0"/>
          <w:sz w:val="20"/>
          <w:szCs w:val="20"/>
          <w:lang w:val="en-US" w:eastAsia="zh-Hans"/>
        </w:rPr>
        <w:t>丹尼尔兰格</w:t>
      </w:r>
      <w:r>
        <w:rPr>
          <w:rFonts w:hint="default" w:cs="Calibri"/>
          <w:color w:val="000000"/>
          <w:kern w:val="0"/>
          <w:sz w:val="20"/>
          <w:szCs w:val="20"/>
          <w:lang w:eastAsia="zh-Hans"/>
        </w:rPr>
        <w:t>，</w:t>
      </w:r>
      <w:r>
        <w:rPr>
          <w:rFonts w:hint="eastAsia" w:cs="Calibri"/>
          <w:color w:val="000000"/>
          <w:kern w:val="0"/>
          <w:sz w:val="20"/>
          <w:szCs w:val="20"/>
          <w:lang w:val="en-US" w:eastAsia="zh-Hans"/>
        </w:rPr>
        <w:t>奥利弗海尔潘盛聪著</w:t>
      </w:r>
      <w:r>
        <w:rPr>
          <w:rFonts w:hint="default" w:cs="Calibri"/>
          <w:color w:val="000000"/>
          <w:kern w:val="0"/>
          <w:sz w:val="20"/>
          <w:szCs w:val="20"/>
          <w:lang w:eastAsia="zh-Hans"/>
        </w:rPr>
        <w:t>；</w:t>
      </w:r>
      <w:r>
        <w:rPr>
          <w:rFonts w:hint="eastAsia" w:cs="Calibri"/>
          <w:color w:val="000000"/>
          <w:kern w:val="0"/>
          <w:sz w:val="20"/>
          <w:szCs w:val="20"/>
          <w:lang w:val="en-US" w:eastAsia="zh-Hans"/>
        </w:rPr>
        <w:t>中国人民大学出版社</w:t>
      </w:r>
      <w:r>
        <w:rPr>
          <w:rFonts w:hint="default" w:cs="Calibri"/>
          <w:color w:val="000000"/>
          <w:kern w:val="0"/>
          <w:sz w:val="20"/>
          <w:szCs w:val="20"/>
          <w:lang w:eastAsia="zh-Hans"/>
        </w:rPr>
        <w:t>，2016</w:t>
      </w:r>
      <w:r>
        <w:rPr>
          <w:rFonts w:hint="eastAsia" w:cs="Calibri"/>
          <w:color w:val="000000"/>
          <w:kern w:val="0"/>
          <w:sz w:val="20"/>
          <w:szCs w:val="20"/>
          <w:lang w:val="en-US" w:eastAsia="zh-Hans"/>
        </w:rPr>
        <w:t>.</w:t>
      </w:r>
      <w:r>
        <w:rPr>
          <w:rFonts w:hint="default" w:cs="Calibri"/>
          <w:color w:val="000000"/>
          <w:kern w:val="0"/>
          <w:sz w:val="20"/>
          <w:szCs w:val="20"/>
          <w:lang w:eastAsia="zh-Hans"/>
        </w:rPr>
        <w:t>10，</w:t>
      </w:r>
      <w:r>
        <w:rPr>
          <w:rFonts w:cs="Calibri"/>
          <w:color w:val="000000"/>
          <w:kern w:val="0"/>
          <w:sz w:val="20"/>
          <w:szCs w:val="20"/>
        </w:rPr>
        <w:t>ISBN 978-7-300-23464-9</w:t>
      </w:r>
      <w:r>
        <w:rPr>
          <w:rFonts w:hint="default" w:cs="Calibri"/>
          <w:color w:val="000000"/>
          <w:kern w:val="0"/>
          <w:sz w:val="20"/>
          <w:szCs w:val="20"/>
          <w:lang w:eastAsia="zh-Hans"/>
        </w:rPr>
        <w:t>】</w:t>
      </w:r>
    </w:p>
    <w:p>
      <w:pPr>
        <w:widowControl/>
        <w:jc w:val="left"/>
        <w:rPr>
          <w:b/>
          <w:bCs/>
          <w:color w:val="000000"/>
          <w:sz w:val="20"/>
          <w:szCs w:val="20"/>
        </w:rPr>
      </w:pPr>
      <w:r>
        <w:rPr>
          <w:b/>
          <w:bCs/>
          <w:color w:val="000000"/>
          <w:sz w:val="20"/>
          <w:szCs w:val="20"/>
        </w:rPr>
        <w:t>参考</w:t>
      </w:r>
      <w:r>
        <w:rPr>
          <w:rFonts w:hint="eastAsia"/>
          <w:b/>
          <w:bCs/>
          <w:color w:val="000000"/>
          <w:sz w:val="20"/>
          <w:szCs w:val="20"/>
        </w:rPr>
        <w:t>书目：</w:t>
      </w:r>
    </w:p>
    <w:p>
      <w:pPr>
        <w:widowControl/>
        <w:jc w:val="left"/>
        <w:rPr>
          <w:rFonts w:cs="Calibri"/>
          <w:color w:val="000000"/>
          <w:kern w:val="0"/>
          <w:sz w:val="20"/>
          <w:szCs w:val="20"/>
        </w:rPr>
      </w:pPr>
      <w:r>
        <w:rPr>
          <w:rFonts w:cs="Calibri"/>
          <w:color w:val="000000"/>
          <w:kern w:val="0"/>
          <w:sz w:val="20"/>
          <w:szCs w:val="20"/>
        </w:rPr>
        <w:t>【《The Luxury Strategy: Breaking The Rules of Marketing to Build Luxury Brands (dissecting the luxury concept and defining the counter-intuitive rules for luxury marketing)》, Jean-Noel Kapferer and Vincent Bastien, Sept. 2012 (second edition), ISBN-13: 978-0749454777】</w:t>
      </w:r>
    </w:p>
    <w:p>
      <w:pPr>
        <w:widowControl/>
        <w:jc w:val="left"/>
        <w:rPr>
          <w:color w:val="000000"/>
          <w:szCs w:val="21"/>
        </w:rPr>
      </w:pPr>
      <w:r>
        <w:rPr>
          <w:rFonts w:cs="Calibri"/>
          <w:color w:val="000000"/>
          <w:kern w:val="0"/>
          <w:sz w:val="20"/>
          <w:szCs w:val="20"/>
        </w:rPr>
        <w:t>【《Managing fashion and luxury companies,》 Erica Corbellini &amp; Stefania Saviolo, Feb. 2009 (second edition), ISBN- 13: 978-0470830260】</w:t>
      </w:r>
    </w:p>
    <w:p>
      <w:pPr>
        <w:snapToGrid w:val="0"/>
        <w:spacing w:line="288" w:lineRule="auto"/>
        <w:ind w:firstLine="392" w:firstLineChars="196"/>
        <w:rPr>
          <w:rFonts w:hint="eastAsia"/>
          <w:b/>
          <w:bCs/>
          <w:color w:val="000000"/>
          <w:sz w:val="20"/>
          <w:szCs w:val="20"/>
        </w:rPr>
      </w:pPr>
    </w:p>
    <w:p>
      <w:pPr>
        <w:snapToGrid w:val="0"/>
        <w:spacing w:line="288" w:lineRule="auto"/>
        <w:ind w:firstLine="392" w:firstLineChars="196"/>
        <w:rPr>
          <w:color w:val="000000"/>
          <w:sz w:val="20"/>
          <w:szCs w:val="20"/>
        </w:rPr>
      </w:pPr>
      <w:r>
        <w:rPr>
          <w:rFonts w:hint="eastAsia"/>
          <w:b/>
          <w:bCs/>
          <w:color w:val="000000"/>
          <w:sz w:val="20"/>
          <w:szCs w:val="20"/>
        </w:rPr>
        <w:t>课程网站网址</w:t>
      </w:r>
      <w:r>
        <w:rPr>
          <w:b/>
          <w:bCs/>
          <w:color w:val="000000"/>
          <w:sz w:val="20"/>
          <w:szCs w:val="20"/>
        </w:rPr>
        <w:t>: www.gench.edu.cn</w:t>
      </w:r>
    </w:p>
    <w:p>
      <w:pPr>
        <w:adjustRightInd w:val="0"/>
        <w:snapToGrid w:val="0"/>
        <w:spacing w:line="288" w:lineRule="auto"/>
        <w:ind w:firstLine="392" w:firstLineChars="196"/>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经济学（双语）</w:t>
      </w:r>
      <w:r>
        <w:rPr>
          <w:color w:val="000000"/>
          <w:sz w:val="20"/>
          <w:szCs w:val="20"/>
        </w:rPr>
        <w:t xml:space="preserve"> 2060533    </w:t>
      </w:r>
      <w:r>
        <w:rPr>
          <w:rFonts w:hint="eastAsia"/>
          <w:color w:val="000000"/>
          <w:sz w:val="20"/>
          <w:szCs w:val="20"/>
        </w:rPr>
        <w:t>（</w:t>
      </w:r>
      <w:r>
        <w:rPr>
          <w:color w:val="000000"/>
          <w:sz w:val="20"/>
          <w:szCs w:val="20"/>
        </w:rPr>
        <w:t xml:space="preserve"> 4</w:t>
      </w:r>
      <w:r>
        <w:rPr>
          <w:rFonts w:hint="eastAsia"/>
          <w:color w:val="000000"/>
          <w:sz w:val="20"/>
          <w:szCs w:val="20"/>
        </w:rPr>
        <w:t>学分）</w:t>
      </w:r>
    </w:p>
    <w:p>
      <w:pPr>
        <w:adjustRightInd w:val="0"/>
        <w:snapToGrid w:val="0"/>
        <w:spacing w:line="288" w:lineRule="auto"/>
        <w:ind w:firstLine="1392" w:firstLineChars="696"/>
        <w:rPr>
          <w:color w:val="000000"/>
          <w:sz w:val="20"/>
          <w:szCs w:val="20"/>
        </w:rPr>
      </w:pPr>
      <w:r>
        <w:rPr>
          <w:rFonts w:hint="eastAsia"/>
          <w:color w:val="000000"/>
          <w:sz w:val="20"/>
          <w:szCs w:val="20"/>
        </w:rPr>
        <w:t>管理学（双语）</w:t>
      </w:r>
      <w:r>
        <w:rPr>
          <w:color w:val="000000"/>
          <w:sz w:val="20"/>
          <w:szCs w:val="20"/>
        </w:rPr>
        <w:t xml:space="preserve">   2120052        </w:t>
      </w:r>
      <w:r>
        <w:rPr>
          <w:rFonts w:hint="eastAsia"/>
          <w:color w:val="000000"/>
          <w:sz w:val="20"/>
          <w:szCs w:val="20"/>
        </w:rPr>
        <w:t>（</w:t>
      </w:r>
      <w:r>
        <w:rPr>
          <w:color w:val="000000"/>
          <w:sz w:val="20"/>
          <w:szCs w:val="20"/>
        </w:rPr>
        <w:t>3</w:t>
      </w:r>
      <w:r>
        <w:rPr>
          <w:rFonts w:hint="eastAsia"/>
          <w:color w:val="000000"/>
          <w:sz w:val="20"/>
          <w:szCs w:val="20"/>
        </w:rPr>
        <w:t>学分）</w:t>
      </w:r>
    </w:p>
    <w:p>
      <w:pPr>
        <w:adjustRightInd w:val="0"/>
        <w:snapToGrid w:val="0"/>
        <w:spacing w:line="288" w:lineRule="auto"/>
        <w:ind w:firstLine="1392" w:firstLineChars="696"/>
        <w:rPr>
          <w:color w:val="000000"/>
          <w:sz w:val="20"/>
          <w:szCs w:val="20"/>
        </w:rPr>
      </w:pPr>
      <w:r>
        <w:rPr>
          <w:rFonts w:hint="eastAsia"/>
          <w:color w:val="000000"/>
          <w:sz w:val="20"/>
          <w:szCs w:val="20"/>
        </w:rPr>
        <w:t>市场营销</w:t>
      </w:r>
      <w:r>
        <w:rPr>
          <w:color w:val="000000"/>
          <w:sz w:val="20"/>
          <w:szCs w:val="20"/>
        </w:rPr>
        <w:t xml:space="preserve">           2120055      </w:t>
      </w:r>
      <w:r>
        <w:rPr>
          <w:rFonts w:hint="eastAsia"/>
          <w:color w:val="000000"/>
          <w:sz w:val="20"/>
          <w:szCs w:val="20"/>
        </w:rPr>
        <w:t>（</w:t>
      </w:r>
      <w:r>
        <w:rPr>
          <w:color w:val="000000"/>
          <w:sz w:val="20"/>
          <w:szCs w:val="20"/>
        </w:rPr>
        <w:t>3</w:t>
      </w:r>
      <w:r>
        <w:rPr>
          <w:rFonts w:hint="eastAsia"/>
          <w:color w:val="000000"/>
          <w:sz w:val="20"/>
          <w:szCs w:val="20"/>
        </w:rPr>
        <w:t>学分）</w:t>
      </w:r>
      <w:r>
        <w:rPr>
          <w:color w:val="000000"/>
          <w:sz w:val="20"/>
          <w:szCs w:val="20"/>
        </w:rPr>
        <w:t>】</w:t>
      </w:r>
    </w:p>
    <w:p>
      <w:pPr>
        <w:adjustRightInd w:val="0"/>
        <w:snapToGrid w:val="0"/>
        <w:spacing w:before="156" w:beforeLines="50" w:after="156" w:afterLines="50" w:line="288" w:lineRule="auto"/>
        <w:ind w:firstLine="348" w:firstLineChars="145"/>
        <w:rPr>
          <w:rFonts w:ascii="黑体" w:hAnsi="宋体" w:eastAsia="黑体"/>
          <w:sz w:val="24"/>
        </w:rPr>
      </w:pPr>
    </w:p>
    <w:p>
      <w:pPr>
        <w:adjustRightInd w:val="0"/>
        <w:snapToGrid w:val="0"/>
        <w:spacing w:before="156" w:beforeLines="50" w:after="156" w:afterLines="50" w:line="288" w:lineRule="auto"/>
        <w:ind w:firstLine="348" w:firstLineChars="145"/>
        <w:rPr>
          <w:b/>
          <w:color w:val="000000"/>
          <w:sz w:val="24"/>
          <w:szCs w:val="20"/>
        </w:rPr>
      </w:pPr>
      <w:r>
        <w:rPr>
          <w:rFonts w:ascii="黑体" w:hAnsi="宋体" w:eastAsia="黑体"/>
          <w:sz w:val="24"/>
        </w:rPr>
        <w:t>二</w:t>
      </w:r>
      <w:r>
        <w:rPr>
          <w:rFonts w:hint="eastAsia" w:ascii="黑体" w:hAnsi="宋体" w:eastAsia="黑体"/>
          <w:sz w:val="24"/>
        </w:rPr>
        <w:t>、</w:t>
      </w:r>
      <w:r>
        <w:rPr>
          <w:rFonts w:ascii="黑体" w:hAnsi="宋体" w:eastAsia="黑体"/>
          <w:sz w:val="24"/>
        </w:rPr>
        <w:t>课程简介</w:t>
      </w:r>
    </w:p>
    <w:p>
      <w:pPr>
        <w:widowControl/>
        <w:jc w:val="left"/>
      </w:pPr>
      <w:r>
        <w:rPr>
          <w:color w:val="000000"/>
          <w:sz w:val="20"/>
          <w:szCs w:val="20"/>
        </w:rPr>
        <w:t xml:space="preserve"> </w:t>
      </w:r>
      <w:r>
        <w:rPr>
          <w:rFonts w:hint="eastAsia"/>
          <w:color w:val="000000"/>
          <w:sz w:val="20"/>
          <w:szCs w:val="20"/>
        </w:rPr>
        <w:t xml:space="preserve"> </w:t>
      </w:r>
      <w:r>
        <w:t xml:space="preserve">Learning Objectives </w:t>
      </w:r>
      <w:r>
        <w:rPr>
          <w:rFonts w:hint="eastAsia"/>
        </w:rPr>
        <w:t>学习目标</w:t>
      </w:r>
    </w:p>
    <w:p>
      <w:pPr>
        <w:snapToGrid w:val="0"/>
        <w:spacing w:line="288" w:lineRule="auto"/>
        <w:ind w:firstLine="420" w:firstLineChars="200"/>
        <w:rPr>
          <w:rFonts w:hint="eastAsia"/>
        </w:rPr>
      </w:pPr>
      <w:r>
        <w:t>This course aims to familiarize the students with luxury codes and communication, and to emphasize that luxury marketing is different from the classic marketing used by mass market brands. After a brief review of fundamental marketing concepts and latest trends, the students will go through the specificities of luxury (the do's and don'ts, the different perceptions, the influence of cultures, the different types of clients) and they will see how brands can communicate using various tools (celebrities, product placement, events, digital) in order to share their values and educate their clients. This course will also highlight the historic disruption the luxury industry is facing, thanks to the collision of media and technology.</w:t>
      </w:r>
    </w:p>
    <w:p>
      <w:pPr>
        <w:snapToGrid w:val="0"/>
        <w:spacing w:line="288" w:lineRule="auto"/>
        <w:ind w:firstLine="420" w:firstLineChars="200"/>
      </w:pPr>
      <w:r>
        <w:rPr>
          <w:rFonts w:hint="eastAsia"/>
        </w:rPr>
        <w:t>本课程旨在让学生熟悉奢侈品代码和沟通方式，并强调奢侈品营销不同于大众市场品牌使用的经典营销方式。在对基本营销概念和最新趋势进行简要回顾后，学生将了解奢侈品的特殊性（注意事项、不同的看法、文化的影响、不同类型的客户），他们将了解品牌如何可以使用各种工具（名人、产品展示、活动、数字）进行交流，以分享他们的价值观并教育他们的客户。由于媒体和技术的碰撞，本课程还将突出奢侈品行业面临的历史性颠覆。</w:t>
      </w:r>
    </w:p>
    <w:p>
      <w:pPr>
        <w:snapToGrid w:val="0"/>
        <w:spacing w:line="288" w:lineRule="auto"/>
        <w:ind w:firstLine="400" w:firstLineChars="200"/>
        <w:rPr>
          <w:color w:val="000000"/>
          <w:sz w:val="20"/>
          <w:szCs w:val="20"/>
        </w:rPr>
      </w:pPr>
    </w:p>
    <w:p>
      <w:pPr>
        <w:snapToGrid w:val="0"/>
        <w:spacing w:line="288" w:lineRule="auto"/>
        <w:ind w:firstLine="420" w:firstLineChars="200"/>
      </w:pPr>
      <w:r>
        <w:t xml:space="preserve">Course description and Teaching Methods </w:t>
      </w:r>
      <w:r>
        <w:rPr>
          <w:rFonts w:hint="eastAsia"/>
        </w:rPr>
        <w:t>课程描述和教学方法</w:t>
      </w:r>
    </w:p>
    <w:p>
      <w:pPr>
        <w:snapToGrid w:val="0"/>
        <w:spacing w:line="288" w:lineRule="auto"/>
        <w:ind w:firstLine="420" w:firstLineChars="200"/>
      </w:pPr>
      <w:r>
        <w:t>Consumer behavior is the best starting point in thinking about luxury product marketing. It offers a roadmap for survival for established luxury companies. Luxury brands need to look at how the next generation of their customers behave and zoom in on the points of friction in their brand experience. Then, they need to become a solution to this friction. During this course, the students will study how luxury brands can win by staying close to their customers. Teaching methods: Theory, participative learning, videos, and group work.</w:t>
      </w:r>
    </w:p>
    <w:p>
      <w:pPr>
        <w:snapToGrid w:val="0"/>
        <w:spacing w:line="288" w:lineRule="auto"/>
        <w:ind w:firstLine="420" w:firstLineChars="200"/>
      </w:pPr>
      <w:r>
        <w:rPr>
          <w:rFonts w:hint="eastAsia"/>
        </w:rPr>
        <w:t>消费者行为是思考奢侈品营销的最佳起点。它为成熟的奢侈品公司提供了生存路线图。奢侈品牌需要关注下一代客户的行为方式，并关注品牌体验中的摩擦点。然后，他们需要成为这种摩擦的解决方案。在本课程中，学生将学习奢侈品牌如何通过贴近客户来取胜。教学方法：理论、参与式学习、视频和小组工作。</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三</w:t>
      </w:r>
      <w:r>
        <w:rPr>
          <w:rFonts w:hint="eastAsia" w:ascii="黑体" w:hAnsi="宋体" w:eastAsia="黑体"/>
          <w:sz w:val="24"/>
        </w:rPr>
        <w:t>、</w:t>
      </w:r>
      <w:r>
        <w:rPr>
          <w:rFonts w:ascii="黑体" w:hAnsi="宋体" w:eastAsia="黑体"/>
          <w:sz w:val="24"/>
        </w:rPr>
        <w:t>选课建议（必填项）</w:t>
      </w:r>
    </w:p>
    <w:p>
      <w:pPr>
        <w:snapToGrid w:val="0"/>
        <w:spacing w:line="288" w:lineRule="auto"/>
        <w:ind w:left="420" w:leftChars="200"/>
        <w:rPr>
          <w:color w:val="000000"/>
          <w:sz w:val="20"/>
          <w:szCs w:val="20"/>
        </w:rPr>
      </w:pPr>
      <w:r>
        <w:rPr>
          <w:rFonts w:hint="eastAsia"/>
          <w:color w:val="000000"/>
          <w:sz w:val="20"/>
          <w:szCs w:val="20"/>
        </w:rPr>
        <w:t xml:space="preserve">    此课程适合本科专业学生在大二后学习，一般应具备相应的经济学、管理学、市场营销学知识，和一定的分析问题、解决问题的能力。</w:t>
      </w:r>
    </w:p>
    <w:p>
      <w:pPr>
        <w:snapToGrid w:val="0"/>
        <w:spacing w:line="288" w:lineRule="auto"/>
        <w:ind w:firstLine="400" w:firstLineChars="200"/>
        <w:rPr>
          <w:color w:val="000000"/>
          <w:sz w:val="20"/>
          <w:szCs w:val="20"/>
        </w:rPr>
      </w:pPr>
    </w:p>
    <w:p>
      <w:pPr>
        <w:snapToGrid w:val="0"/>
        <w:spacing w:line="288" w:lineRule="auto"/>
        <w:ind w:firstLine="400" w:firstLineChars="200"/>
        <w:rPr>
          <w:color w:val="000000"/>
          <w:sz w:val="20"/>
          <w:szCs w:val="20"/>
        </w:rPr>
      </w:pPr>
    </w:p>
    <w:p>
      <w:pPr>
        <w:widowControl/>
        <w:spacing w:before="156" w:beforeLines="50" w:after="156" w:afterLines="50" w:line="288" w:lineRule="auto"/>
        <w:ind w:firstLine="360" w:firstLineChars="150"/>
        <w:jc w:val="left"/>
        <w:rPr>
          <w:rFonts w:ascii="黑体" w:hAnsi="宋体" w:eastAsia="黑体"/>
          <w:sz w:val="24"/>
        </w:rPr>
      </w:pPr>
      <w:r>
        <w:rPr>
          <w:rFonts w:ascii="黑体" w:hAnsi="宋体" w:eastAsia="黑体"/>
          <w:sz w:val="24"/>
        </w:rPr>
        <w:t>四</w:t>
      </w:r>
      <w:r>
        <w:rPr>
          <w:rFonts w:hint="eastAsia" w:ascii="黑体" w:hAnsi="宋体" w:eastAsia="黑体"/>
          <w:sz w:val="24"/>
        </w:rPr>
        <w:t>、</w:t>
      </w:r>
      <w:r>
        <w:rPr>
          <w:rFonts w:ascii="黑体" w:hAnsi="宋体" w:eastAsia="黑体"/>
          <w:sz w:val="24"/>
        </w:rPr>
        <w:t>课程与</w:t>
      </w:r>
      <w:r>
        <w:rPr>
          <w:rFonts w:hint="eastAsia" w:ascii="黑体" w:hAnsi="宋体" w:eastAsia="黑体"/>
          <w:sz w:val="24"/>
        </w:rPr>
        <w:t>专业毕业要求</w:t>
      </w:r>
      <w:r>
        <w:rPr>
          <w:rFonts w:ascii="黑体" w:hAnsi="宋体" w:eastAsia="黑体"/>
          <w:sz w:val="24"/>
        </w:rPr>
        <w:t>的关联性</w:t>
      </w:r>
    </w:p>
    <w:tbl>
      <w:tblPr>
        <w:tblStyle w:val="6"/>
        <w:tblpPr w:leftFromText="180" w:rightFromText="180" w:vertAnchor="text" w:horzAnchor="page" w:tblpX="2375" w:tblpY="242"/>
        <w:tblOverlap w:val="never"/>
        <w:tblW w:w="7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3"/>
        <w:gridCol w:w="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tcPr>
          <w:p>
            <w:pPr>
              <w:jc w:val="center"/>
              <w:rPr>
                <w:rFonts w:ascii="黑体" w:hAnsi="黑体" w:eastAsia="黑体" w:cs="黑体"/>
                <w:kern w:val="0"/>
                <w:sz w:val="20"/>
                <w:szCs w:val="20"/>
              </w:rPr>
            </w:pPr>
            <w:r>
              <w:rPr>
                <w:rFonts w:hint="eastAsia" w:ascii="黑体" w:hAnsi="黑体" w:eastAsia="黑体" w:cs="黑体"/>
                <w:kern w:val="0"/>
                <w:sz w:val="20"/>
                <w:szCs w:val="20"/>
              </w:rPr>
              <w:t>专业毕业要求</w:t>
            </w:r>
          </w:p>
        </w:tc>
        <w:tc>
          <w:tcPr>
            <w:tcW w:w="727" w:type="dxa"/>
          </w:tcPr>
          <w:p>
            <w:pPr>
              <w:jc w:val="center"/>
              <w:rPr>
                <w:rFonts w:ascii="黑体" w:hAnsi="黑体" w:eastAsia="黑体" w:cs="黑体"/>
                <w:kern w:val="0"/>
                <w:sz w:val="20"/>
                <w:szCs w:val="20"/>
              </w:rPr>
            </w:pPr>
            <w:r>
              <w:rPr>
                <w:rFonts w:hint="eastAsia" w:ascii="黑体" w:hAnsi="黑体" w:eastAsia="黑体" w:cs="黑体"/>
                <w:kern w:val="0"/>
                <w:sz w:val="20"/>
                <w:szCs w:val="20"/>
              </w:rPr>
              <w:t>关联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LO11：</w:t>
            </w:r>
            <w:r>
              <w:rPr>
                <w:rFonts w:hint="eastAsia" w:ascii="楷体_GB2312" w:hAnsi="楷体_GB2312" w:eastAsia="楷体_GB2312"/>
                <w:sz w:val="24"/>
              </w:rPr>
              <w:t>表达沟通</w:t>
            </w:r>
          </w:p>
          <w:p>
            <w:pPr>
              <w:ind w:firstLine="424" w:firstLineChars="177"/>
              <w:rPr>
                <w:kern w:val="0"/>
                <w:sz w:val="20"/>
                <w:szCs w:val="20"/>
              </w:rPr>
            </w:pPr>
            <w:r>
              <w:rPr>
                <w:rFonts w:hint="eastAsia" w:ascii="楷体_GB2312" w:hAnsi="楷体_GB2312" w:eastAsia="楷体_GB2312"/>
                <w:sz w:val="24"/>
              </w:rPr>
              <w:t>理解他人的观点和设计要求，并能够清晰流畅的表达自己的设计构思和创意。能在不同场合用书面、口头或图稿形式进行有效的双向设计沟通。</w:t>
            </w:r>
          </w:p>
        </w:tc>
        <w:tc>
          <w:tcPr>
            <w:tcW w:w="727" w:type="dxa"/>
            <w:vAlign w:val="center"/>
          </w:tcPr>
          <w:p>
            <w:pPr>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LO21：</w:t>
            </w:r>
            <w:r>
              <w:rPr>
                <w:rFonts w:hint="eastAsia" w:ascii="楷体_GB2312" w:hAnsi="楷体_GB2312" w:eastAsia="楷体_GB2312"/>
                <w:sz w:val="24"/>
              </w:rPr>
              <w:t>自主学习</w:t>
            </w:r>
          </w:p>
          <w:p>
            <w:pPr>
              <w:ind w:firstLine="424" w:firstLineChars="177"/>
              <w:rPr>
                <w:rFonts w:ascii="楷体_GB2312" w:hAnsi="楷体_GB2312" w:eastAsia="楷体_GB2312"/>
                <w:sz w:val="24"/>
              </w:rPr>
            </w:pPr>
            <w:r>
              <w:rPr>
                <w:rFonts w:hint="eastAsia" w:ascii="楷体_GB2312" w:hAnsi="楷体_GB2312" w:eastAsia="楷体_GB2312"/>
                <w:sz w:val="24"/>
              </w:rPr>
              <w:t>能根据自身需要和岗位需求，结合社会背景下，新知识、新技术、新工艺、新材料的发展趋势，确定自己的学习目标，并主动自觉地通过搜集、分析信息、讨论、实践、质疑、创造等方法来实现学习目标。</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LO31：</w:t>
            </w:r>
            <w:r>
              <w:rPr>
                <w:rFonts w:hint="eastAsia" w:ascii="楷体_GB2312" w:hAnsi="楷体_GB2312" w:eastAsia="楷体_GB2312"/>
                <w:sz w:val="24"/>
              </w:rPr>
              <w:t>奢侈品市场营销</w:t>
            </w:r>
          </w:p>
          <w:p>
            <w:pPr>
              <w:ind w:firstLine="424" w:firstLineChars="177"/>
              <w:rPr>
                <w:rFonts w:ascii="楷体_GB2312" w:hAnsi="楷体_GB2312" w:eastAsia="楷体_GB2312"/>
                <w:sz w:val="24"/>
              </w:rPr>
            </w:pPr>
            <w:r>
              <w:rPr>
                <w:rFonts w:hint="eastAsia" w:ascii="楷体_GB2312" w:hAnsi="楷体_GB2312" w:eastAsia="楷体_GB2312"/>
                <w:sz w:val="24"/>
              </w:rPr>
              <w:t>熟悉珠宝和奢侈品行市场分析和品牌定位的方法，制定品牌营销的战略和策略；制定完整的营销执行计划，完成营销活动的组织和实施；熟悉品牌和市场定位方法，并基于市场竞争环境进行市场拓展；熟悉主要社交媒体操作，掌握网络营销方法和策略。</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LO32：</w:t>
            </w:r>
            <w:r>
              <w:rPr>
                <w:rFonts w:hint="eastAsia" w:ascii="楷体_GB2312" w:hAnsi="楷体_GB2312" w:eastAsia="楷体_GB2312"/>
                <w:sz w:val="24"/>
              </w:rPr>
              <w:t>经济分析</w:t>
            </w:r>
          </w:p>
          <w:p>
            <w:pPr>
              <w:ind w:firstLine="424" w:firstLineChars="177"/>
              <w:rPr>
                <w:rFonts w:ascii="楷体_GB2312" w:hAnsi="楷体_GB2312" w:eastAsia="楷体_GB2312"/>
                <w:sz w:val="24"/>
              </w:rPr>
            </w:pPr>
            <w:r>
              <w:rPr>
                <w:rFonts w:hint="eastAsia" w:ascii="楷体_GB2312" w:hAnsi="楷体_GB2312" w:eastAsia="楷体_GB2312"/>
                <w:sz w:val="24"/>
              </w:rPr>
              <w:t>能够运用微观经济学的理论分析的部分经济与商业领域的现象；能有意识观察现实生活和社会中的经济现象，梳理合理的经济变量及各变量之间相互关系；能应用经济学理论，定性和定量分析实际经济问题，并预测经济发展趋势。</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LO33：</w:t>
            </w:r>
            <w:r>
              <w:rPr>
                <w:rFonts w:hint="eastAsia" w:ascii="楷体_GB2312" w:hAnsi="楷体_GB2312" w:eastAsia="楷体_GB2312"/>
                <w:sz w:val="24"/>
              </w:rPr>
              <w:t>奢侈品零售管理</w:t>
            </w:r>
          </w:p>
          <w:p>
            <w:pPr>
              <w:ind w:firstLine="424" w:firstLineChars="177"/>
              <w:rPr>
                <w:rFonts w:ascii="楷体_GB2312" w:hAnsi="楷体_GB2312" w:eastAsia="楷体_GB2312"/>
                <w:sz w:val="24"/>
              </w:rPr>
            </w:pPr>
            <w:r>
              <w:rPr>
                <w:rFonts w:hint="eastAsia" w:ascii="楷体_GB2312" w:hAnsi="楷体_GB2312" w:eastAsia="楷体_GB2312"/>
                <w:sz w:val="24"/>
              </w:rPr>
              <w:t>熟悉珠宝和奢侈品店铺管理和客户关系管理；熟悉消费者行为分析和市场分析的方法，掌握销售的技能，能够与顾客良好的沟通，达成销售。</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LO34：</w:t>
            </w:r>
            <w:r>
              <w:rPr>
                <w:rFonts w:hint="eastAsia" w:ascii="楷体_GB2312" w:hAnsi="楷体_GB2312" w:eastAsia="楷体_GB2312"/>
                <w:sz w:val="24"/>
              </w:rPr>
              <w:t>财务管理</w:t>
            </w:r>
          </w:p>
          <w:p>
            <w:pPr>
              <w:ind w:firstLine="424" w:firstLineChars="177"/>
              <w:rPr>
                <w:rFonts w:ascii="楷体_GB2312" w:hAnsi="楷体_GB2312" w:eastAsia="楷体_GB2312"/>
                <w:sz w:val="24"/>
              </w:rPr>
            </w:pPr>
            <w:r>
              <w:rPr>
                <w:rFonts w:hint="eastAsia" w:ascii="楷体_GB2312" w:hAnsi="楷体_GB2312" w:eastAsia="楷体_GB2312"/>
                <w:sz w:val="24"/>
              </w:rPr>
              <w:t>清楚资金的筹集、投资、运营、分配；掌握财务计划与决策、财务预算与控制；具备一定的财务分析与考核等财务管理基本能力。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LO35：</w:t>
            </w:r>
            <w:r>
              <w:rPr>
                <w:rFonts w:hint="eastAsia" w:ascii="楷体_GB2312" w:hAnsi="楷体_GB2312" w:eastAsia="楷体_GB2312"/>
                <w:sz w:val="24"/>
              </w:rPr>
              <w:t>项目管理</w:t>
            </w:r>
          </w:p>
          <w:p>
            <w:pPr>
              <w:ind w:firstLine="424" w:firstLineChars="177"/>
              <w:rPr>
                <w:rFonts w:ascii="楷体_GB2312" w:hAnsi="楷体_GB2312" w:eastAsia="楷体_GB2312"/>
                <w:sz w:val="24"/>
              </w:rPr>
            </w:pPr>
            <w:r>
              <w:rPr>
                <w:rFonts w:hint="eastAsia" w:ascii="楷体_GB2312" w:hAnsi="楷体_GB2312" w:eastAsia="楷体_GB2312"/>
                <w:sz w:val="24"/>
              </w:rPr>
              <w:t>熟悉项目范围、项目时间、项目成本、项目质量、项目人员管理和业务策划；熟悉项目风险、项目采购。</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LO36：</w:t>
            </w:r>
            <w:r>
              <w:rPr>
                <w:rFonts w:hint="eastAsia" w:ascii="楷体_GB2312" w:hAnsi="楷体_GB2312" w:eastAsia="楷体_GB2312"/>
                <w:sz w:val="24"/>
              </w:rPr>
              <w:t>调查预测能力</w:t>
            </w:r>
          </w:p>
          <w:p>
            <w:pPr>
              <w:ind w:firstLine="424" w:firstLineChars="177"/>
              <w:rPr>
                <w:rFonts w:ascii="楷体_GB2312" w:hAnsi="楷体_GB2312" w:eastAsia="楷体_GB2312"/>
                <w:sz w:val="24"/>
              </w:rPr>
            </w:pPr>
            <w:r>
              <w:rPr>
                <w:rFonts w:hint="eastAsia" w:ascii="楷体_GB2312" w:hAnsi="楷体_GB2312" w:eastAsia="楷体_GB2312"/>
                <w:sz w:val="24"/>
              </w:rPr>
              <w:t>熟悉调查方案的策划，调查问卷的设计；掌握常用的资料分析与预测方法；熟悉调查报告的写作。</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LO37：</w:t>
            </w:r>
            <w:r>
              <w:rPr>
                <w:rFonts w:hint="eastAsia" w:ascii="楷体_GB2312" w:hAnsi="楷体_GB2312" w:eastAsia="楷体_GB2312"/>
                <w:sz w:val="24"/>
              </w:rPr>
              <w:t>珠宝能力</w:t>
            </w:r>
          </w:p>
          <w:p>
            <w:pPr>
              <w:ind w:firstLine="424" w:firstLineChars="177"/>
              <w:rPr>
                <w:rFonts w:ascii="楷体_GB2312" w:hAnsi="楷体_GB2312" w:eastAsia="楷体_GB2312"/>
                <w:sz w:val="24"/>
              </w:rPr>
            </w:pPr>
            <w:r>
              <w:rPr>
                <w:rFonts w:hint="eastAsia" w:ascii="楷体_GB2312" w:hAnsi="楷体_GB2312" w:eastAsia="楷体_GB2312"/>
                <w:sz w:val="24"/>
              </w:rPr>
              <w:t>掌握设计和审美的基本理论与基本知识；具备设计能力和审美素养；了解珠宝和奢侈品发展历史、基本的珠宝和奢侈品鉴赏和不同风格设计的特点，具备一定的珠宝首饰搭配能力。</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LO41：</w:t>
            </w:r>
            <w:r>
              <w:rPr>
                <w:rFonts w:hint="eastAsia" w:ascii="楷体_GB2312" w:hAnsi="楷体_GB2312" w:eastAsia="楷体_GB2312"/>
                <w:sz w:val="24"/>
              </w:rPr>
              <w:t>尽责抗压</w:t>
            </w:r>
          </w:p>
          <w:p>
            <w:pPr>
              <w:ind w:firstLine="424" w:firstLineChars="177"/>
              <w:rPr>
                <w:rFonts w:ascii="楷体_GB2312" w:hAnsi="楷体_GB2312" w:eastAsia="楷体_GB2312"/>
                <w:sz w:val="24"/>
              </w:rPr>
            </w:pPr>
            <w:r>
              <w:rPr>
                <w:rFonts w:hint="eastAsia" w:ascii="楷体_GB2312" w:hAnsi="楷体_GB2312" w:eastAsia="楷体_GB2312"/>
                <w:sz w:val="24"/>
              </w:rPr>
              <w:t>遵守纪律、守信守责；具有耐挫折、抗压力的能力，并能够顺利完成相应地工作学习任务。</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LO51：</w:t>
            </w:r>
            <w:r>
              <w:rPr>
                <w:rFonts w:hint="eastAsia" w:ascii="楷体_GB2312" w:hAnsi="楷体_GB2312" w:eastAsia="楷体_GB2312"/>
                <w:sz w:val="24"/>
              </w:rPr>
              <w:t>协同创新</w:t>
            </w:r>
          </w:p>
          <w:p>
            <w:pPr>
              <w:ind w:firstLine="424" w:firstLineChars="177"/>
              <w:rPr>
                <w:rFonts w:ascii="楷体_GB2312" w:hAnsi="楷体_GB2312" w:eastAsia="楷体_GB2312"/>
                <w:sz w:val="24"/>
              </w:rPr>
            </w:pPr>
            <w:r>
              <w:rPr>
                <w:rFonts w:hint="eastAsia" w:ascii="楷体_GB2312" w:hAnsi="楷体_GB2312" w:eastAsia="楷体_GB2312"/>
                <w:sz w:val="24"/>
              </w:rPr>
              <w:t>同工作学习伙伴保持良好的关系，团结互助、齐心协力，做团队或集体中的积极成员；善于从多个维度思考问题，善于利用自己掌握的知识与技能，在设计实践中提出新颖的构思和设想。</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63" w:hRule="atLeast"/>
        </w:trPr>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LO61：</w:t>
            </w:r>
            <w:r>
              <w:rPr>
                <w:rFonts w:hint="eastAsia" w:ascii="楷体_GB2312" w:hAnsi="楷体_GB2312" w:eastAsia="楷体_GB2312"/>
                <w:sz w:val="24"/>
              </w:rPr>
              <w:t>信息应用</w:t>
            </w:r>
          </w:p>
          <w:p>
            <w:pPr>
              <w:ind w:firstLine="424" w:firstLineChars="177"/>
              <w:rPr>
                <w:rFonts w:ascii="楷体_GB2312" w:hAnsi="楷体_GB2312" w:eastAsia="楷体_GB2312"/>
                <w:sz w:val="24"/>
              </w:rPr>
            </w:pPr>
            <w:r>
              <w:rPr>
                <w:rFonts w:hint="eastAsia" w:ascii="楷体_GB2312" w:hAnsi="楷体_GB2312" w:eastAsia="楷体_GB2312"/>
                <w:sz w:val="24"/>
              </w:rPr>
              <w:t>具备信息素养和运用科技信息技术的能力，并能熟练操作各项办公软件和图像、图形处理软件。</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LO71：</w:t>
            </w:r>
            <w:r>
              <w:rPr>
                <w:rFonts w:hint="eastAsia" w:ascii="楷体_GB2312" w:hAnsi="楷体_GB2312" w:eastAsia="楷体_GB2312"/>
                <w:sz w:val="24"/>
              </w:rPr>
              <w:t>服务关爱</w:t>
            </w:r>
          </w:p>
          <w:p>
            <w:pPr>
              <w:ind w:firstLine="424" w:firstLineChars="177"/>
              <w:rPr>
                <w:rFonts w:ascii="楷体_GB2312" w:hAnsi="楷体_GB2312" w:eastAsia="楷体_GB2312"/>
                <w:sz w:val="24"/>
              </w:rPr>
            </w:pPr>
            <w:r>
              <w:rPr>
                <w:rFonts w:hint="eastAsia" w:ascii="楷体_GB2312" w:hAnsi="楷体_GB2312" w:eastAsia="楷体_GB2312"/>
                <w:sz w:val="24"/>
              </w:rPr>
              <w:t>愿意服务他人、服务企业、服务社会；为人热忱，富于爱心，懂得感恩，甘于奉献。</w:t>
            </w:r>
          </w:p>
        </w:tc>
        <w:tc>
          <w:tcPr>
            <w:tcW w:w="727" w:type="dxa"/>
            <w:vAlign w:val="center"/>
          </w:tcPr>
          <w:p>
            <w:pPr>
              <w:widowControl/>
              <w:jc w:val="center"/>
              <w:rPr>
                <w:rFonts w:ascii="仿宋" w:hAnsi="仿宋" w:eastAsia="仿宋" w:cs="宋体"/>
                <w:color w:val="000000"/>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803" w:type="dxa"/>
            <w:vAlign w:val="center"/>
          </w:tcPr>
          <w:p>
            <w:pPr>
              <w:ind w:firstLine="424" w:firstLineChars="177"/>
              <w:rPr>
                <w:rFonts w:ascii="楷体_GB2312" w:hAnsi="楷体_GB2312" w:eastAsia="楷体_GB2312"/>
                <w:sz w:val="24"/>
              </w:rPr>
            </w:pPr>
            <w:r>
              <w:rPr>
                <w:rFonts w:hint="eastAsia" w:ascii="仿宋" w:hAnsi="仿宋" w:eastAsia="仿宋" w:cs="宋体"/>
                <w:color w:val="000000"/>
                <w:kern w:val="0"/>
                <w:sz w:val="24"/>
              </w:rPr>
              <w:t>LO81：</w:t>
            </w:r>
            <w:r>
              <w:rPr>
                <w:rFonts w:hint="eastAsia" w:ascii="楷体_GB2312" w:hAnsi="楷体_GB2312" w:eastAsia="楷体_GB2312"/>
                <w:sz w:val="24"/>
              </w:rPr>
              <w:t>国际视野</w:t>
            </w:r>
          </w:p>
          <w:p>
            <w:pPr>
              <w:ind w:firstLine="424" w:firstLineChars="177"/>
              <w:rPr>
                <w:rFonts w:ascii="楷体_GB2312" w:hAnsi="楷体_GB2312" w:eastAsia="楷体_GB2312"/>
                <w:sz w:val="24"/>
              </w:rPr>
            </w:pPr>
            <w:r>
              <w:rPr>
                <w:rFonts w:hint="eastAsia" w:ascii="楷体_GB2312" w:hAnsi="楷体_GB2312" w:eastAsia="楷体_GB2312"/>
                <w:sz w:val="24"/>
              </w:rPr>
              <w:t>具有外语能力，能够阅读外文专业图书和资料，同时对专业范围中跨文化的设计具有理解能力，有国际竞争与合作的意识。</w:t>
            </w:r>
          </w:p>
        </w:tc>
        <w:tc>
          <w:tcPr>
            <w:tcW w:w="727" w:type="dxa"/>
            <w:vAlign w:val="center"/>
          </w:tcPr>
          <w:p>
            <w:pPr>
              <w:widowControl/>
              <w:jc w:val="center"/>
              <w:rPr>
                <w:rFonts w:ascii="仿宋" w:hAnsi="仿宋" w:eastAsia="仿宋" w:cs="宋体"/>
                <w:color w:val="000000"/>
                <w:kern w:val="0"/>
                <w:sz w:val="24"/>
                <w:szCs w:val="20"/>
              </w:rPr>
            </w:pPr>
            <w:r>
              <w:rPr>
                <w:color w:val="000000"/>
                <w:kern w:val="0"/>
                <w:sz w:val="20"/>
                <w:szCs w:val="20"/>
              </w:rPr>
              <w:sym w:font="Wingdings 2" w:char="F098"/>
            </w:r>
          </w:p>
        </w:tc>
      </w:tr>
    </w:tbl>
    <w:p>
      <w:pPr>
        <w:ind w:firstLine="420" w:firstLineChars="200"/>
      </w:pPr>
      <w:r>
        <w:rPr>
          <w:rFonts w:hint="eastAsia"/>
        </w:rPr>
        <w:t>备注：LO=</w:t>
      </w:r>
      <w:r>
        <w:t>learning outcomes</w:t>
      </w:r>
      <w:r>
        <w:rPr>
          <w:rFonts w:hint="eastAsia"/>
        </w:rPr>
        <w:t>（学习成果）</w:t>
      </w:r>
    </w:p>
    <w:p/>
    <w:p>
      <w:pPr>
        <w:widowControl/>
        <w:spacing w:before="156" w:beforeLines="50" w:after="156" w:afterLines="50" w:line="288" w:lineRule="auto"/>
        <w:ind w:firstLine="360" w:firstLineChars="150"/>
        <w:jc w:val="left"/>
        <w:rPr>
          <w:rFonts w:ascii="黑体" w:hAnsi="宋体" w:eastAsia="黑体"/>
          <w:sz w:val="24"/>
        </w:rPr>
      </w:pPr>
      <w:r>
        <w:rPr>
          <w:rFonts w:hint="eastAsia" w:ascii="黑体" w:hAnsi="宋体" w:eastAsia="黑体"/>
          <w:sz w:val="24"/>
        </w:rPr>
        <w:t>五、</w:t>
      </w:r>
      <w:r>
        <w:rPr>
          <w:rFonts w:ascii="黑体" w:hAnsi="宋体" w:eastAsia="黑体"/>
          <w:sz w:val="24"/>
        </w:rPr>
        <w:t>课程</w:t>
      </w:r>
      <w:r>
        <w:rPr>
          <w:rFonts w:hint="eastAsia" w:ascii="黑体" w:hAnsi="宋体" w:eastAsia="黑体"/>
          <w:sz w:val="24"/>
        </w:rPr>
        <w:t>目标/课程预期学习成果</w:t>
      </w:r>
    </w:p>
    <w:p>
      <w:pPr>
        <w:spacing w:line="360" w:lineRule="auto"/>
        <w:ind w:firstLine="500" w:firstLineChars="250"/>
        <w:rPr>
          <w:sz w:val="20"/>
          <w:szCs w:val="20"/>
        </w:rPr>
      </w:pPr>
    </w:p>
    <w:tbl>
      <w:tblPr>
        <w:tblStyle w:val="5"/>
        <w:tblpPr w:leftFromText="180" w:rightFromText="180" w:vertAnchor="text" w:horzAnchor="page" w:tblpX="2163" w:tblpY="152"/>
        <w:tblOverlap w:val="never"/>
        <w:tblW w:w="7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
        <w:gridCol w:w="1175"/>
        <w:gridCol w:w="3091"/>
        <w:gridCol w:w="1578"/>
        <w:gridCol w:w="1276"/>
      </w:tblGrid>
      <w:tr>
        <w:tc>
          <w:tcPr>
            <w:tcW w:w="535" w:type="dxa"/>
            <w:shd w:val="clear" w:color="auto" w:fill="auto"/>
            <w:vAlign w:val="center"/>
          </w:tcPr>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序号</w:t>
            </w:r>
          </w:p>
        </w:tc>
        <w:tc>
          <w:tcPr>
            <w:tcW w:w="1175" w:type="dxa"/>
            <w:shd w:val="clear" w:color="auto" w:fill="auto"/>
            <w:vAlign w:val="center"/>
          </w:tcPr>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课程预期</w:t>
            </w:r>
          </w:p>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学习成果</w:t>
            </w:r>
          </w:p>
        </w:tc>
        <w:tc>
          <w:tcPr>
            <w:tcW w:w="3091" w:type="dxa"/>
            <w:shd w:val="clear" w:color="auto" w:fill="auto"/>
            <w:vAlign w:val="center"/>
          </w:tcPr>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课程目标</w:t>
            </w:r>
          </w:p>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（细化的预期学习成果）</w:t>
            </w:r>
          </w:p>
        </w:tc>
        <w:tc>
          <w:tcPr>
            <w:tcW w:w="1578" w:type="dxa"/>
            <w:shd w:val="clear" w:color="auto" w:fill="auto"/>
            <w:vAlign w:val="center"/>
          </w:tcPr>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教与学方式</w:t>
            </w:r>
          </w:p>
        </w:tc>
        <w:tc>
          <w:tcPr>
            <w:tcW w:w="1276" w:type="dxa"/>
            <w:shd w:val="clear" w:color="auto" w:fill="auto"/>
            <w:vAlign w:val="center"/>
          </w:tcPr>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b/>
                <w:color w:val="000000"/>
                <w:sz w:val="20"/>
                <w:szCs w:val="20"/>
              </w:rPr>
              <w:t>评价方式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17" w:hRule="atLeast"/>
        </w:trPr>
        <w:tc>
          <w:tcPr>
            <w:tcW w:w="535" w:type="dxa"/>
            <w:shd w:val="clear" w:color="auto" w:fill="auto"/>
            <w:vAlign w:val="center"/>
          </w:tcPr>
          <w:p>
            <w:pPr>
              <w:adjustRightInd w:val="0"/>
              <w:snapToGrid w:val="0"/>
              <w:jc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1</w:t>
            </w:r>
          </w:p>
        </w:tc>
        <w:tc>
          <w:tcPr>
            <w:tcW w:w="1175" w:type="dxa"/>
            <w:shd w:val="clear" w:color="auto" w:fill="auto"/>
            <w:vAlign w:val="center"/>
          </w:tcPr>
          <w:p>
            <w:pPr>
              <w:adjustRightInd w:val="0"/>
              <w:snapToGrid w:val="0"/>
              <w:jc w:val="center"/>
              <w:rPr>
                <w:rFonts w:cs="宋体" w:asciiTheme="majorEastAsia" w:hAnsiTheme="majorEastAsia" w:eastAsiaTheme="majorEastAsia"/>
                <w:color w:val="000000"/>
                <w:kern w:val="0"/>
                <w:sz w:val="24"/>
                <w:szCs w:val="22"/>
                <w:lang w:val="en-US" w:eastAsia="zh-CN" w:bidi="ar-SA"/>
              </w:rPr>
            </w:pPr>
            <w:r>
              <w:rPr>
                <w:rFonts w:hint="eastAsia" w:cs="宋体" w:asciiTheme="majorEastAsia" w:hAnsiTheme="majorEastAsia" w:eastAsiaTheme="majorEastAsia"/>
                <w:color w:val="000000"/>
                <w:kern w:val="0"/>
                <w:sz w:val="24"/>
              </w:rPr>
              <w:t>LO311</w:t>
            </w:r>
          </w:p>
        </w:tc>
        <w:tc>
          <w:tcPr>
            <w:tcW w:w="3091" w:type="dxa"/>
            <w:shd w:val="clear" w:color="auto" w:fill="auto"/>
            <w:vAlign w:val="center"/>
          </w:tcPr>
          <w:p>
            <w:pPr>
              <w:adjustRightInd w:val="0"/>
              <w:snapToGrid w:val="0"/>
              <w:jc w:val="center"/>
              <w:rPr>
                <w:rFonts w:cs="Times New Roman" w:asciiTheme="majorEastAsia" w:hAnsiTheme="majorEastAsia" w:eastAsiaTheme="majorEastAsia"/>
                <w:b/>
                <w:color w:val="000000"/>
                <w:kern w:val="2"/>
                <w:sz w:val="20"/>
                <w:szCs w:val="20"/>
                <w:lang w:val="en-US" w:eastAsia="zh-CN" w:bidi="ar-SA"/>
              </w:rPr>
            </w:pPr>
            <w:r>
              <w:rPr>
                <w:rFonts w:hint="eastAsia"/>
              </w:rPr>
              <w:t>熟悉珠宝和奢侈品行市场分析和品牌定位的方法，制定项目指定品牌营销的战略和策略。</w:t>
            </w:r>
          </w:p>
        </w:tc>
        <w:tc>
          <w:tcPr>
            <w:tcW w:w="1578" w:type="dxa"/>
            <w:vMerge w:val="restart"/>
            <w:shd w:val="clear" w:color="auto" w:fill="auto"/>
            <w:vAlign w:val="center"/>
          </w:tcPr>
          <w:p>
            <w:pPr>
              <w:adjustRightInd w:val="0"/>
              <w:snapToGrid w:val="0"/>
              <w:ind w:firstLine="360" w:firstLineChars="150"/>
              <w:jc w:val="both"/>
              <w:rPr>
                <w:rFonts w:asciiTheme="majorEastAsia" w:hAnsiTheme="majorEastAsia" w:eastAsiaTheme="majorEastAsia"/>
                <w:sz w:val="24"/>
              </w:rPr>
            </w:pPr>
            <w:r>
              <w:rPr>
                <w:rFonts w:hint="eastAsia" w:asciiTheme="majorEastAsia" w:hAnsiTheme="majorEastAsia" w:eastAsiaTheme="majorEastAsia"/>
                <w:sz w:val="24"/>
              </w:rPr>
              <w:t>课堂讲授</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课堂练习</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案例分析</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小组讨论</w:t>
            </w:r>
          </w:p>
          <w:p>
            <w:pPr>
              <w:adjustRightInd w:val="0"/>
              <w:snapToGrid w:val="0"/>
              <w:jc w:val="center"/>
              <w:rPr>
                <w:rFonts w:asciiTheme="majorEastAsia" w:hAnsiTheme="majorEastAsia" w:eastAsiaTheme="majorEastAsia"/>
                <w:sz w:val="24"/>
              </w:rPr>
            </w:pPr>
          </w:p>
        </w:tc>
        <w:tc>
          <w:tcPr>
            <w:tcW w:w="1276" w:type="dxa"/>
            <w:vMerge w:val="restart"/>
            <w:shd w:val="clear" w:color="auto" w:fill="auto"/>
            <w:vAlign w:val="center"/>
          </w:tcPr>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课堂练习</w:t>
            </w:r>
          </w:p>
          <w:p>
            <w:pPr>
              <w:adjustRightInd w:val="0"/>
              <w:snapToGrid w:val="0"/>
              <w:jc w:val="center"/>
              <w:rPr>
                <w:rFonts w:asciiTheme="majorEastAsia" w:hAnsiTheme="majorEastAsia" w:eastAsiaTheme="majorEastAsia"/>
                <w:sz w:val="24"/>
              </w:rPr>
            </w:pPr>
            <w:r>
              <w:rPr>
                <w:rFonts w:hint="eastAsia" w:asciiTheme="majorEastAsia" w:hAnsiTheme="majorEastAsia" w:eastAsiaTheme="majorEastAsia"/>
                <w:sz w:val="24"/>
              </w:rPr>
              <w:t>课堂案例</w:t>
            </w:r>
          </w:p>
          <w:p>
            <w:pPr>
              <w:adjustRightInd w:val="0"/>
              <w:snapToGrid w:val="0"/>
              <w:jc w:val="center"/>
              <w:rPr>
                <w:rFonts w:asciiTheme="majorEastAsia" w:hAnsiTheme="majorEastAsia" w:eastAsiaTheme="majorEastAsia"/>
                <w:b/>
                <w:color w:val="000000"/>
                <w:sz w:val="20"/>
                <w:szCs w:val="20"/>
              </w:rPr>
            </w:pPr>
            <w:r>
              <w:rPr>
                <w:rFonts w:hint="eastAsia" w:asciiTheme="majorEastAsia" w:hAnsiTheme="majorEastAsia" w:eastAsiaTheme="majorEastAsia"/>
                <w:sz w:val="24"/>
              </w:rPr>
              <w:t>课堂展示PPT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adjustRightInd w:val="0"/>
              <w:snapToGrid w:val="0"/>
              <w:jc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2</w:t>
            </w:r>
          </w:p>
        </w:tc>
        <w:tc>
          <w:tcPr>
            <w:tcW w:w="1175" w:type="dxa"/>
            <w:shd w:val="clear" w:color="auto" w:fill="auto"/>
            <w:vAlign w:val="center"/>
          </w:tcPr>
          <w:p>
            <w:pPr>
              <w:adjustRightInd w:val="0"/>
              <w:snapToGrid w:val="0"/>
              <w:jc w:val="center"/>
              <w:rPr>
                <w:rFonts w:cs="宋体" w:asciiTheme="majorEastAsia" w:hAnsiTheme="majorEastAsia" w:eastAsiaTheme="majorEastAsia"/>
                <w:color w:val="000000"/>
                <w:kern w:val="0"/>
                <w:sz w:val="24"/>
                <w:szCs w:val="22"/>
                <w:lang w:val="en-US" w:eastAsia="zh-CN" w:bidi="ar-SA"/>
              </w:rPr>
            </w:pPr>
            <w:r>
              <w:rPr>
                <w:rFonts w:hint="eastAsia" w:cs="宋体" w:asciiTheme="majorEastAsia" w:hAnsiTheme="majorEastAsia" w:eastAsiaTheme="majorEastAsia"/>
                <w:color w:val="000000"/>
                <w:kern w:val="0"/>
                <w:sz w:val="24"/>
              </w:rPr>
              <w:t>LO</w:t>
            </w:r>
            <w:r>
              <w:rPr>
                <w:rFonts w:hint="default" w:cs="宋体" w:asciiTheme="majorEastAsia" w:hAnsiTheme="majorEastAsia" w:eastAsiaTheme="majorEastAsia"/>
                <w:color w:val="000000"/>
                <w:kern w:val="0"/>
                <w:sz w:val="24"/>
              </w:rPr>
              <w:t>3</w:t>
            </w:r>
            <w:r>
              <w:rPr>
                <w:rFonts w:hint="eastAsia" w:cs="宋体" w:asciiTheme="majorEastAsia" w:hAnsiTheme="majorEastAsia" w:eastAsiaTheme="majorEastAsia"/>
                <w:color w:val="000000"/>
                <w:kern w:val="0"/>
                <w:sz w:val="24"/>
              </w:rPr>
              <w:t>3</w:t>
            </w:r>
            <w:r>
              <w:rPr>
                <w:rFonts w:hint="default" w:cs="宋体" w:asciiTheme="majorEastAsia" w:hAnsiTheme="majorEastAsia" w:eastAsiaTheme="majorEastAsia"/>
                <w:color w:val="000000"/>
                <w:kern w:val="0"/>
                <w:sz w:val="24"/>
              </w:rPr>
              <w:t>1</w:t>
            </w:r>
          </w:p>
        </w:tc>
        <w:tc>
          <w:tcPr>
            <w:tcW w:w="3091" w:type="dxa"/>
            <w:shd w:val="clear" w:color="auto" w:fill="auto"/>
            <w:vAlign w:val="center"/>
          </w:tcPr>
          <w:p>
            <w:pPr>
              <w:adjustRightInd w:val="0"/>
              <w:snapToGrid w:val="0"/>
              <w:jc w:val="center"/>
              <w:rPr>
                <w:rFonts w:cs="宋体" w:asciiTheme="majorEastAsia" w:hAnsiTheme="majorEastAsia" w:eastAsiaTheme="majorEastAsia"/>
                <w:color w:val="000000"/>
                <w:kern w:val="0"/>
                <w:sz w:val="24"/>
              </w:rPr>
            </w:pPr>
          </w:p>
          <w:p>
            <w:pPr>
              <w:adjustRightInd w:val="0"/>
              <w:snapToGrid w:val="0"/>
              <w:jc w:val="center"/>
              <w:rPr>
                <w:rFonts w:cs="宋体" w:asciiTheme="majorEastAsia" w:hAnsiTheme="majorEastAsia" w:eastAsiaTheme="majorEastAsia"/>
                <w:color w:val="000000"/>
                <w:kern w:val="0"/>
                <w:sz w:val="24"/>
              </w:rPr>
            </w:pPr>
            <w:r>
              <w:rPr>
                <w:rFonts w:hint="eastAsia"/>
              </w:rPr>
              <w:t>能用创新的方法或者多种方法解决复杂问题或真实问题；完成小组课程项目。</w:t>
            </w:r>
          </w:p>
          <w:p>
            <w:pPr>
              <w:adjustRightInd w:val="0"/>
              <w:snapToGrid w:val="0"/>
              <w:jc w:val="center"/>
              <w:rPr>
                <w:rFonts w:cs="宋体" w:asciiTheme="majorEastAsia" w:hAnsiTheme="majorEastAsia" w:eastAsiaTheme="majorEastAsia"/>
                <w:color w:val="000000"/>
                <w:kern w:val="0"/>
                <w:sz w:val="24"/>
                <w:szCs w:val="22"/>
                <w:lang w:val="en-US" w:eastAsia="zh-CN" w:bidi="ar-SA"/>
              </w:rPr>
            </w:pPr>
          </w:p>
        </w:tc>
        <w:tc>
          <w:tcPr>
            <w:tcW w:w="1578" w:type="dxa"/>
            <w:vMerge w:val="continue"/>
            <w:shd w:val="clear" w:color="auto" w:fill="auto"/>
            <w:vAlign w:val="center"/>
          </w:tcPr>
          <w:p>
            <w:pPr>
              <w:adjustRightInd w:val="0"/>
              <w:snapToGrid w:val="0"/>
              <w:jc w:val="center"/>
              <w:rPr>
                <w:rFonts w:asciiTheme="majorEastAsia" w:hAnsiTheme="majorEastAsia" w:eastAsiaTheme="majorEastAsia"/>
                <w:b/>
                <w:color w:val="000000"/>
                <w:sz w:val="20"/>
                <w:szCs w:val="20"/>
              </w:rPr>
            </w:pPr>
          </w:p>
        </w:tc>
        <w:tc>
          <w:tcPr>
            <w:tcW w:w="1276" w:type="dxa"/>
            <w:vMerge w:val="continue"/>
            <w:shd w:val="clear" w:color="auto" w:fill="auto"/>
            <w:vAlign w:val="center"/>
          </w:tcPr>
          <w:p>
            <w:pPr>
              <w:adjustRightInd w:val="0"/>
              <w:snapToGrid w:val="0"/>
              <w:jc w:val="center"/>
              <w:rPr>
                <w:rFonts w:asciiTheme="majorEastAsia" w:hAnsiTheme="majorEastAsia" w:eastAsiaTheme="majorEastAsia"/>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 w:type="dxa"/>
            <w:shd w:val="clear" w:color="auto" w:fill="auto"/>
            <w:vAlign w:val="center"/>
          </w:tcPr>
          <w:p>
            <w:pPr>
              <w:adjustRightInd w:val="0"/>
              <w:snapToGrid w:val="0"/>
              <w:jc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3</w:t>
            </w:r>
          </w:p>
        </w:tc>
        <w:tc>
          <w:tcPr>
            <w:tcW w:w="1175" w:type="dxa"/>
            <w:shd w:val="clear" w:color="auto" w:fill="auto"/>
            <w:vAlign w:val="center"/>
          </w:tcPr>
          <w:p>
            <w:pPr>
              <w:adjustRightInd w:val="0"/>
              <w:snapToGrid w:val="0"/>
              <w:jc w:val="center"/>
              <w:rPr>
                <w:rFonts w:cs="宋体" w:asciiTheme="majorEastAsia" w:hAnsiTheme="majorEastAsia" w:eastAsiaTheme="majorEastAsia"/>
                <w:color w:val="000000"/>
                <w:kern w:val="0"/>
                <w:sz w:val="24"/>
              </w:rPr>
            </w:pPr>
            <w:r>
              <w:rPr>
                <w:rFonts w:hint="eastAsia" w:cs="宋体" w:asciiTheme="majorEastAsia" w:hAnsiTheme="majorEastAsia" w:eastAsiaTheme="majorEastAsia"/>
                <w:color w:val="000000"/>
                <w:kern w:val="0"/>
                <w:sz w:val="24"/>
              </w:rPr>
              <w:t>LO811</w:t>
            </w:r>
          </w:p>
        </w:tc>
        <w:tc>
          <w:tcPr>
            <w:tcW w:w="3091" w:type="dxa"/>
            <w:shd w:val="clear" w:color="auto" w:fill="auto"/>
            <w:vAlign w:val="center"/>
          </w:tcPr>
          <w:p>
            <w:pPr>
              <w:adjustRightInd w:val="0"/>
              <w:snapToGrid w:val="0"/>
              <w:jc w:val="center"/>
              <w:rPr>
                <w:rFonts w:hint="eastAsia"/>
              </w:rPr>
            </w:pPr>
          </w:p>
          <w:p>
            <w:pPr>
              <w:adjustRightInd w:val="0"/>
              <w:snapToGrid w:val="0"/>
              <w:jc w:val="center"/>
              <w:rPr>
                <w:rFonts w:cs="宋体" w:asciiTheme="majorEastAsia" w:hAnsiTheme="majorEastAsia" w:eastAsiaTheme="majorEastAsia"/>
                <w:color w:val="000000"/>
                <w:kern w:val="0"/>
                <w:sz w:val="24"/>
              </w:rPr>
            </w:pPr>
            <w:r>
              <w:rPr>
                <w:rFonts w:hint="eastAsia"/>
              </w:rPr>
              <w:t>具备外语能力，能够阅读外文专业图书和资料。</w:t>
            </w:r>
          </w:p>
          <w:p>
            <w:pPr>
              <w:adjustRightInd w:val="0"/>
              <w:snapToGrid w:val="0"/>
              <w:jc w:val="center"/>
              <w:rPr>
                <w:rFonts w:cs="宋体" w:asciiTheme="majorEastAsia" w:hAnsiTheme="majorEastAsia" w:eastAsiaTheme="majorEastAsia"/>
                <w:color w:val="000000"/>
                <w:kern w:val="0"/>
                <w:sz w:val="24"/>
              </w:rPr>
            </w:pPr>
          </w:p>
        </w:tc>
        <w:tc>
          <w:tcPr>
            <w:tcW w:w="1578" w:type="dxa"/>
            <w:vMerge w:val="continue"/>
            <w:shd w:val="clear" w:color="auto" w:fill="auto"/>
            <w:vAlign w:val="center"/>
          </w:tcPr>
          <w:p>
            <w:pPr>
              <w:adjustRightInd w:val="0"/>
              <w:snapToGrid w:val="0"/>
              <w:jc w:val="center"/>
              <w:rPr>
                <w:rFonts w:asciiTheme="majorEastAsia" w:hAnsiTheme="majorEastAsia" w:eastAsiaTheme="majorEastAsia"/>
                <w:b/>
                <w:color w:val="000000"/>
                <w:sz w:val="20"/>
                <w:szCs w:val="20"/>
              </w:rPr>
            </w:pPr>
          </w:p>
        </w:tc>
        <w:tc>
          <w:tcPr>
            <w:tcW w:w="1276" w:type="dxa"/>
            <w:vMerge w:val="continue"/>
            <w:shd w:val="clear" w:color="auto" w:fill="auto"/>
            <w:vAlign w:val="center"/>
          </w:tcPr>
          <w:p>
            <w:pPr>
              <w:adjustRightInd w:val="0"/>
              <w:snapToGrid w:val="0"/>
              <w:jc w:val="center"/>
              <w:rPr>
                <w:rFonts w:asciiTheme="majorEastAsia" w:hAnsiTheme="majorEastAsia" w:eastAsiaTheme="majorEastAsia"/>
                <w:b/>
                <w:color w:val="000000"/>
                <w:sz w:val="20"/>
                <w:szCs w:val="20"/>
              </w:rPr>
            </w:pPr>
          </w:p>
        </w:tc>
      </w:tr>
    </w:tbl>
    <w:p>
      <w:pPr>
        <w:snapToGrid w:val="0"/>
        <w:spacing w:line="288" w:lineRule="auto"/>
        <w:ind w:left="420" w:leftChars="200"/>
        <w:jc w:val="center"/>
        <w:rPr>
          <w:rFonts w:ascii="黑体" w:hAnsi="宋体" w:eastAsia="黑体"/>
          <w:sz w:val="24"/>
        </w:rPr>
      </w:pPr>
    </w:p>
    <w:p>
      <w:pPr>
        <w:snapToGrid w:val="0"/>
        <w:spacing w:line="288" w:lineRule="auto"/>
        <w:ind w:left="420" w:leftChars="200"/>
        <w:rPr>
          <w:rFonts w:hint="eastAsia" w:ascii="宋体" w:hAnsi="宋体" w:eastAsia="宋体" w:cs="宋体"/>
          <w:sz w:val="24"/>
          <w:szCs w:val="24"/>
        </w:rPr>
      </w:pPr>
    </w:p>
    <w:p>
      <w:pPr>
        <w:widowControl/>
        <w:spacing w:before="156" w:beforeLines="50" w:after="156" w:afterLines="50" w:line="288" w:lineRule="auto"/>
        <w:ind w:firstLine="360" w:firstLineChars="150"/>
        <w:jc w:val="left"/>
        <w:rPr>
          <w:rFonts w:hint="eastAsia" w:ascii="宋体" w:hAnsi="宋体" w:eastAsia="宋体" w:cs="宋体"/>
          <w:sz w:val="24"/>
          <w:szCs w:val="24"/>
        </w:rPr>
      </w:pPr>
    </w:p>
    <w:p>
      <w:pPr>
        <w:widowControl/>
        <w:spacing w:before="156" w:beforeLines="50" w:after="156" w:afterLines="50" w:line="288" w:lineRule="auto"/>
        <w:ind w:firstLine="360" w:firstLineChars="150"/>
        <w:jc w:val="left"/>
        <w:rPr>
          <w:rFonts w:hint="eastAsia" w:ascii="宋体" w:hAnsi="宋体" w:eastAsia="宋体" w:cs="宋体"/>
          <w:sz w:val="24"/>
          <w:szCs w:val="24"/>
        </w:rPr>
      </w:pPr>
      <w:r>
        <w:rPr>
          <w:rFonts w:hint="eastAsia" w:ascii="宋体" w:hAnsi="宋体" w:eastAsia="宋体" w:cs="宋体"/>
          <w:sz w:val="24"/>
          <w:szCs w:val="24"/>
        </w:rPr>
        <w:t>六、课程内容</w:t>
      </w:r>
    </w:p>
    <w:p>
      <w:pPr>
        <w:snapToGrid w:val="0"/>
        <w:spacing w:line="288" w:lineRule="auto"/>
        <w:ind w:firstLine="480" w:firstLineChars="200"/>
        <w:rPr>
          <w:rFonts w:hint="eastAsia" w:ascii="宋体" w:hAnsi="宋体" w:eastAsia="宋体" w:cs="宋体"/>
          <w:b/>
          <w:bCs/>
          <w:sz w:val="24"/>
          <w:szCs w:val="24"/>
        </w:rPr>
      </w:pP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Section  one</w:t>
      </w:r>
      <w:r>
        <w:rPr>
          <w:rFonts w:hint="eastAsia" w:ascii="宋体" w:hAnsi="宋体" w:eastAsia="宋体" w:cs="宋体"/>
          <w:kern w:val="0"/>
          <w:sz w:val="24"/>
          <w:szCs w:val="24"/>
          <w:lang w:val="en-US" w:eastAsia="zh-Hans"/>
        </w:rPr>
        <w:t>第一单元</w:t>
      </w: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 Introduction and icebreaker </w:t>
      </w:r>
      <w:r>
        <w:rPr>
          <w:rFonts w:hint="eastAsia" w:ascii="宋体" w:hAnsi="宋体" w:eastAsia="宋体" w:cs="宋体"/>
          <w:kern w:val="0"/>
          <w:sz w:val="24"/>
          <w:szCs w:val="24"/>
          <w:lang w:val="en-US" w:eastAsia="zh-Hans"/>
        </w:rPr>
        <w:t>教师和学生破冰</w:t>
      </w:r>
    </w:p>
    <w:p>
      <w:pPr>
        <w:widowControl/>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 Presentation of assessments</w:t>
      </w:r>
      <w:r>
        <w:rPr>
          <w:rFonts w:hint="eastAsia" w:ascii="宋体" w:hAnsi="宋体" w:eastAsia="宋体" w:cs="宋体"/>
          <w:kern w:val="0"/>
          <w:sz w:val="24"/>
          <w:szCs w:val="24"/>
          <w:lang w:val="en-US" w:eastAsia="zh-Hans"/>
        </w:rPr>
        <w:t>课程评价讲解</w:t>
      </w:r>
    </w:p>
    <w:p>
      <w:pPr>
        <w:widowControl/>
        <w:rPr>
          <w:rFonts w:hint="eastAsia" w:ascii="宋体" w:hAnsi="宋体" w:eastAsia="宋体" w:cs="宋体"/>
          <w:kern w:val="0"/>
          <w:sz w:val="24"/>
          <w:szCs w:val="24"/>
          <w:lang w:eastAsia="zh-CN"/>
        </w:rPr>
      </w:pPr>
      <w:r>
        <w:rPr>
          <w:rFonts w:hint="default" w:ascii="宋体" w:hAnsi="宋体" w:cs="宋体"/>
          <w:kern w:val="0"/>
          <w:sz w:val="24"/>
          <w:szCs w:val="24"/>
          <w:lang w:eastAsia="zh-Hans"/>
        </w:rPr>
        <w:t>- Marketing models review</w:t>
      </w:r>
      <w:r>
        <w:rPr>
          <w:rFonts w:hint="eastAsia" w:ascii="宋体" w:hAnsi="宋体" w:cs="宋体"/>
          <w:kern w:val="0"/>
          <w:sz w:val="24"/>
          <w:szCs w:val="24"/>
          <w:lang w:val="en-US" w:eastAsia="zh-Hans"/>
        </w:rPr>
        <w:t>市场营销模型复习</w:t>
      </w:r>
    </w:p>
    <w:p>
      <w:pPr>
        <w:widowControl/>
        <w:jc w:val="left"/>
        <w:rPr>
          <w:rFonts w:hint="eastAsia" w:ascii="宋体" w:hAnsi="宋体" w:eastAsia="宋体" w:cs="宋体"/>
          <w:color w:val="000000"/>
          <w:kern w:val="0"/>
          <w:sz w:val="24"/>
          <w:szCs w:val="24"/>
        </w:rPr>
      </w:pPr>
      <w:r>
        <w:rPr>
          <w:rFonts w:hint="eastAsia" w:ascii="宋体" w:hAnsi="宋体" w:eastAsia="宋体" w:cs="宋体"/>
          <w:kern w:val="0"/>
          <w:sz w:val="24"/>
          <w:szCs w:val="24"/>
          <w:lang w:eastAsia="zh-CN"/>
        </w:rPr>
        <w:t>- S</w:t>
      </w:r>
      <w:r>
        <w:rPr>
          <w:rFonts w:hint="eastAsia" w:ascii="宋体" w:hAnsi="宋体" w:eastAsia="宋体" w:cs="宋体"/>
          <w:kern w:val="0"/>
          <w:sz w:val="24"/>
          <w:szCs w:val="24"/>
          <w:lang w:val="en-US" w:eastAsia="zh-Hans"/>
        </w:rPr>
        <w:t>tatus</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of</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luxury</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market奢侈品市场现状</w:t>
      </w:r>
    </w:p>
    <w:p>
      <w:pPr>
        <w:widowControl/>
        <w:rPr>
          <w:rFonts w:hint="eastAsia" w:ascii="宋体" w:hAnsi="宋体" w:eastAsia="宋体" w:cs="宋体"/>
          <w:kern w:val="0"/>
          <w:sz w:val="24"/>
          <w:szCs w:val="24"/>
          <w:lang w:eastAsia="zh-CN"/>
        </w:rPr>
      </w:pP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Section  two</w:t>
      </w:r>
      <w:r>
        <w:rPr>
          <w:rFonts w:hint="eastAsia" w:ascii="宋体" w:hAnsi="宋体" w:eastAsia="宋体" w:cs="宋体"/>
          <w:kern w:val="0"/>
          <w:sz w:val="24"/>
          <w:szCs w:val="24"/>
          <w:lang w:val="en-US" w:eastAsia="zh-Hans"/>
        </w:rPr>
        <w:t>第二单元</w:t>
      </w:r>
    </w:p>
    <w:p>
      <w:pPr>
        <w:widowControl/>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 xml:space="preserve">-Luxury definition </w:t>
      </w:r>
      <w:r>
        <w:rPr>
          <w:rFonts w:hint="eastAsia" w:ascii="宋体" w:hAnsi="宋体" w:eastAsia="宋体" w:cs="宋体"/>
          <w:kern w:val="0"/>
          <w:sz w:val="24"/>
          <w:szCs w:val="24"/>
          <w:lang w:val="en-US" w:eastAsia="zh-Hans"/>
        </w:rPr>
        <w:t>奢侈品定义</w:t>
      </w: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Difference Between Luxury and Similar Concepts</w:t>
      </w:r>
      <w:r>
        <w:rPr>
          <w:rFonts w:hint="eastAsia" w:ascii="宋体" w:hAnsi="宋体" w:eastAsia="宋体" w:cs="宋体"/>
          <w:kern w:val="0"/>
          <w:sz w:val="24"/>
          <w:szCs w:val="24"/>
          <w:lang w:val="en-US" w:eastAsia="zh-Hans"/>
        </w:rPr>
        <w:t>奢侈品和相似概念的区别</w:t>
      </w:r>
    </w:p>
    <w:p>
      <w:pPr>
        <w:widowControl/>
        <w:jc w:val="left"/>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 xml:space="preserve">-Luxury </w:t>
      </w:r>
      <w:r>
        <w:rPr>
          <w:rFonts w:hint="eastAsia" w:ascii="宋体" w:hAnsi="宋体" w:eastAsia="宋体" w:cs="宋体"/>
          <w:kern w:val="0"/>
          <w:sz w:val="24"/>
          <w:szCs w:val="24"/>
          <w:lang w:val="en-US" w:eastAsia="zh-Hans"/>
        </w:rPr>
        <w:t>categories</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and</w:t>
      </w:r>
      <w:r>
        <w:rPr>
          <w:rFonts w:hint="eastAsia" w:ascii="宋体" w:hAnsi="宋体" w:eastAsia="宋体" w:cs="宋体"/>
          <w:kern w:val="0"/>
          <w:sz w:val="24"/>
          <w:szCs w:val="24"/>
          <w:lang w:eastAsia="zh-Hans"/>
        </w:rPr>
        <w:t xml:space="preserve"> luxury index</w:t>
      </w:r>
      <w:r>
        <w:rPr>
          <w:rFonts w:hint="eastAsia" w:ascii="宋体" w:hAnsi="宋体" w:eastAsia="宋体" w:cs="宋体"/>
          <w:kern w:val="0"/>
          <w:sz w:val="24"/>
          <w:szCs w:val="24"/>
          <w:lang w:eastAsia="zh-CN"/>
        </w:rPr>
        <w:t xml:space="preserve"> </w:t>
      </w:r>
      <w:r>
        <w:rPr>
          <w:rFonts w:hint="eastAsia" w:ascii="宋体" w:hAnsi="宋体" w:eastAsia="宋体" w:cs="宋体"/>
          <w:kern w:val="0"/>
          <w:sz w:val="24"/>
          <w:szCs w:val="24"/>
          <w:lang w:val="en-US" w:eastAsia="zh-Hans"/>
        </w:rPr>
        <w:t>奢侈品品类和奢侈品指数</w:t>
      </w:r>
    </w:p>
    <w:p>
      <w:pPr>
        <w:widowControl/>
        <w:jc w:val="left"/>
        <w:rPr>
          <w:rFonts w:hint="eastAsia" w:ascii="宋体" w:hAnsi="宋体" w:eastAsia="宋体" w:cs="宋体"/>
          <w:kern w:val="0"/>
          <w:sz w:val="24"/>
          <w:szCs w:val="24"/>
          <w:lang w:eastAsia="zh-Hans"/>
        </w:rPr>
      </w:pPr>
      <w:r>
        <w:rPr>
          <w:rFonts w:hint="default" w:ascii="宋体" w:hAnsi="宋体" w:cs="宋体"/>
          <w:kern w:val="0"/>
          <w:sz w:val="24"/>
          <w:szCs w:val="24"/>
          <w:lang w:eastAsia="zh-Hans"/>
        </w:rPr>
        <w:t xml:space="preserve">-Anti-laws of Marketing </w:t>
      </w:r>
      <w:r>
        <w:rPr>
          <w:rFonts w:hint="eastAsia" w:ascii="宋体" w:hAnsi="宋体" w:cs="宋体"/>
          <w:kern w:val="0"/>
          <w:sz w:val="24"/>
          <w:szCs w:val="24"/>
          <w:lang w:val="en-US" w:eastAsia="zh-Hans"/>
        </w:rPr>
        <w:t>反市场营销法则</w:t>
      </w:r>
    </w:p>
    <w:p>
      <w:pPr>
        <w:snapToGrid w:val="0"/>
        <w:spacing w:line="288" w:lineRule="auto"/>
        <w:rPr>
          <w:rFonts w:hint="eastAsia" w:ascii="宋体" w:hAnsi="宋体" w:eastAsia="宋体" w:cs="宋体"/>
          <w:sz w:val="24"/>
          <w:szCs w:val="24"/>
        </w:rPr>
      </w:pPr>
    </w:p>
    <w:p>
      <w:pPr>
        <w:widowControl/>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Section three</w:t>
      </w:r>
      <w:r>
        <w:rPr>
          <w:rFonts w:hint="eastAsia" w:ascii="宋体" w:hAnsi="宋体" w:eastAsia="宋体" w:cs="宋体"/>
          <w:kern w:val="0"/>
          <w:sz w:val="24"/>
          <w:szCs w:val="24"/>
          <w:lang w:val="en-US" w:eastAsia="zh-Hans"/>
        </w:rPr>
        <w:t>第三单元</w:t>
      </w:r>
    </w:p>
    <w:p>
      <w:pPr>
        <w:widowControl/>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Hans"/>
        </w:rPr>
        <w:t>-The cultural and social frame</w:t>
      </w:r>
      <w:r>
        <w:rPr>
          <w:rFonts w:hint="eastAsia" w:ascii="宋体" w:hAnsi="宋体" w:eastAsia="宋体" w:cs="宋体"/>
          <w:kern w:val="0"/>
          <w:sz w:val="24"/>
          <w:szCs w:val="24"/>
          <w:lang w:val="en-US" w:eastAsia="zh-Hans"/>
        </w:rPr>
        <w:t>文化与社会结构</w:t>
      </w:r>
    </w:p>
    <w:p>
      <w:pPr>
        <w:widowControl/>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w:t>
      </w:r>
      <w:r>
        <w:rPr>
          <w:rFonts w:hint="eastAsia" w:ascii="宋体" w:hAnsi="宋体" w:eastAsia="宋体" w:cs="宋体"/>
          <w:kern w:val="0"/>
          <w:sz w:val="24"/>
          <w:szCs w:val="24"/>
          <w:lang w:val="en-US" w:eastAsia="zh-Hans"/>
        </w:rPr>
        <w:t>perceptions</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and</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geographical</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differences感知与地理差异</w:t>
      </w:r>
    </w:p>
    <w:p>
      <w:pPr>
        <w:widowControl/>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Hans"/>
        </w:rPr>
        <w:t xml:space="preserve">-Consumer Segmentation </w:t>
      </w:r>
      <w:r>
        <w:rPr>
          <w:rFonts w:hint="eastAsia" w:ascii="宋体" w:hAnsi="宋体" w:eastAsia="宋体" w:cs="宋体"/>
          <w:kern w:val="0"/>
          <w:sz w:val="24"/>
          <w:szCs w:val="24"/>
          <w:lang w:val="en-US" w:eastAsia="zh-Hans"/>
        </w:rPr>
        <w:t>消费者细分</w:t>
      </w: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-The purchase situation</w:t>
      </w:r>
      <w:r>
        <w:rPr>
          <w:rFonts w:hint="eastAsia" w:ascii="宋体" w:hAnsi="宋体" w:eastAsia="宋体" w:cs="宋体"/>
          <w:kern w:val="0"/>
          <w:sz w:val="24"/>
          <w:szCs w:val="24"/>
          <w:lang w:val="en-US" w:eastAsia="zh-Hans"/>
        </w:rPr>
        <w:t>购买情境</w:t>
      </w:r>
    </w:p>
    <w:p>
      <w:pPr>
        <w:snapToGrid w:val="0"/>
        <w:spacing w:line="288" w:lineRule="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 xml:space="preserve">-The consumption situation </w:t>
      </w:r>
      <w:r>
        <w:rPr>
          <w:rFonts w:hint="eastAsia" w:ascii="宋体" w:hAnsi="宋体" w:eastAsia="宋体" w:cs="宋体"/>
          <w:kern w:val="0"/>
          <w:sz w:val="24"/>
          <w:szCs w:val="24"/>
          <w:lang w:val="en-US" w:eastAsia="zh-Hans"/>
        </w:rPr>
        <w:t>消费情境</w:t>
      </w:r>
    </w:p>
    <w:p>
      <w:pPr>
        <w:widowControl/>
        <w:rPr>
          <w:rFonts w:hint="eastAsia" w:ascii="宋体" w:hAnsi="宋体" w:eastAsia="宋体" w:cs="宋体"/>
          <w:kern w:val="0"/>
          <w:sz w:val="24"/>
          <w:szCs w:val="24"/>
          <w:lang w:eastAsia="zh-CN"/>
        </w:rPr>
      </w:pP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Section </w:t>
      </w:r>
      <w:r>
        <w:rPr>
          <w:rFonts w:hint="eastAsia" w:ascii="宋体" w:hAnsi="宋体" w:eastAsia="宋体" w:cs="宋体"/>
          <w:kern w:val="0"/>
          <w:sz w:val="24"/>
          <w:szCs w:val="24"/>
          <w:lang w:val="en-US" w:eastAsia="zh-Hans"/>
        </w:rPr>
        <w:t>four第四单元</w:t>
      </w:r>
    </w:p>
    <w:p>
      <w:pPr>
        <w:widowControl/>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Hans"/>
        </w:rPr>
        <w:t>quality</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and</w:t>
      </w:r>
      <w:r>
        <w:rPr>
          <w:rFonts w:hint="eastAsia" w:ascii="宋体" w:hAnsi="宋体" w:eastAsia="宋体" w:cs="宋体"/>
          <w:kern w:val="0"/>
          <w:sz w:val="24"/>
          <w:szCs w:val="24"/>
          <w:lang w:eastAsia="zh-Hans"/>
        </w:rPr>
        <w:t xml:space="preserve"> aestheti</w:t>
      </w:r>
      <w:r>
        <w:rPr>
          <w:rFonts w:hint="eastAsia" w:ascii="宋体" w:hAnsi="宋体" w:eastAsia="宋体" w:cs="宋体"/>
          <w:kern w:val="0"/>
          <w:sz w:val="24"/>
          <w:szCs w:val="24"/>
          <w:lang w:val="en-US" w:eastAsia="zh-Hans"/>
        </w:rPr>
        <w:t>c</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品质和美感</w:t>
      </w:r>
    </w:p>
    <w:p>
      <w:pPr>
        <w:snapToGrid w:val="0"/>
        <w:spacing w:line="288" w:lineRule="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Hans"/>
        </w:rPr>
        <w:t>-Luxury pricing and income elasticity</w:t>
      </w:r>
      <w:r>
        <w:rPr>
          <w:rFonts w:hint="eastAsia" w:ascii="宋体" w:hAnsi="宋体" w:eastAsia="宋体" w:cs="宋体"/>
          <w:kern w:val="0"/>
          <w:sz w:val="24"/>
          <w:szCs w:val="24"/>
          <w:lang w:val="en-US" w:eastAsia="zh-Hans"/>
        </w:rPr>
        <w:t>奢侈品定价和收入弹性</w:t>
      </w:r>
    </w:p>
    <w:p>
      <w:pPr>
        <w:widowControl/>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eastAsia="zh-CN"/>
        </w:rPr>
        <w:t xml:space="preserve">- Luxury in the digital age </w:t>
      </w:r>
      <w:r>
        <w:rPr>
          <w:rFonts w:hint="eastAsia" w:ascii="宋体" w:hAnsi="宋体" w:eastAsia="宋体" w:cs="宋体"/>
          <w:kern w:val="0"/>
          <w:sz w:val="24"/>
          <w:szCs w:val="24"/>
          <w:lang w:val="en-US" w:eastAsia="zh-Hans"/>
        </w:rPr>
        <w:t>电子信息世代下的奢侈品</w:t>
      </w:r>
    </w:p>
    <w:p>
      <w:pPr>
        <w:snapToGrid w:val="0"/>
        <w:spacing w:line="288" w:lineRule="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 xml:space="preserve">-Social media tools and application study </w:t>
      </w:r>
      <w:r>
        <w:rPr>
          <w:rFonts w:hint="eastAsia" w:ascii="宋体" w:hAnsi="宋体" w:eastAsia="宋体" w:cs="宋体"/>
          <w:kern w:val="0"/>
          <w:sz w:val="24"/>
          <w:szCs w:val="24"/>
          <w:lang w:val="en-US" w:eastAsia="zh-Hans"/>
        </w:rPr>
        <w:t>社交媒体应用</w:t>
      </w:r>
    </w:p>
    <w:p>
      <w:pPr>
        <w:widowControl/>
        <w:rPr>
          <w:rFonts w:hint="eastAsia" w:ascii="宋体" w:hAnsi="宋体" w:eastAsia="宋体" w:cs="宋体"/>
          <w:kern w:val="0"/>
          <w:sz w:val="24"/>
          <w:szCs w:val="24"/>
          <w:lang w:eastAsia="zh-CN"/>
        </w:rPr>
      </w:pPr>
      <w:r>
        <w:rPr>
          <w:rFonts w:hint="eastAsia" w:ascii="宋体" w:hAnsi="宋体" w:eastAsia="宋体" w:cs="宋体"/>
          <w:kern w:val="0"/>
          <w:sz w:val="24"/>
          <w:szCs w:val="24"/>
          <w:lang w:eastAsia="zh-CN"/>
        </w:rPr>
        <w:t xml:space="preserve">Branding Strategies </w:t>
      </w:r>
      <w:r>
        <w:rPr>
          <w:rFonts w:hint="eastAsia" w:ascii="宋体" w:hAnsi="宋体" w:eastAsia="宋体" w:cs="宋体"/>
          <w:kern w:val="0"/>
          <w:sz w:val="24"/>
          <w:szCs w:val="24"/>
          <w:lang w:val="en-US" w:eastAsia="zh-Hans"/>
        </w:rPr>
        <w:t>奢侈品品牌战略</w:t>
      </w:r>
    </w:p>
    <w:p>
      <w:pPr>
        <w:snapToGrid w:val="0"/>
        <w:spacing w:line="288" w:lineRule="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Hans"/>
        </w:rPr>
        <w:t xml:space="preserve">Luxury Development and Challenges </w:t>
      </w:r>
      <w:r>
        <w:rPr>
          <w:rFonts w:hint="eastAsia" w:ascii="宋体" w:hAnsi="宋体" w:eastAsia="宋体" w:cs="宋体"/>
          <w:kern w:val="0"/>
          <w:sz w:val="24"/>
          <w:szCs w:val="24"/>
          <w:lang w:val="en-US" w:eastAsia="zh-Hans"/>
        </w:rPr>
        <w:t>奢侈品发展与挑战</w:t>
      </w:r>
    </w:p>
    <w:p>
      <w:pPr>
        <w:snapToGrid w:val="0"/>
        <w:spacing w:line="288" w:lineRule="auto"/>
        <w:rPr>
          <w:rFonts w:hint="eastAsia" w:ascii="宋体" w:hAnsi="宋体" w:eastAsia="宋体" w:cs="宋体"/>
          <w:kern w:val="0"/>
          <w:sz w:val="24"/>
          <w:szCs w:val="24"/>
          <w:lang w:val="en-US" w:eastAsia="zh-Hans"/>
        </w:rPr>
      </w:pPr>
    </w:p>
    <w:p>
      <w:pPr>
        <w:snapToGrid w:val="0"/>
        <w:spacing w:line="288" w:lineRule="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val="en-US" w:eastAsia="zh-Hans"/>
        </w:rPr>
        <w:t>Section</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five</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第五单元</w:t>
      </w:r>
    </w:p>
    <w:p>
      <w:pPr>
        <w:snapToGrid w:val="0"/>
        <w:spacing w:line="288" w:lineRule="auto"/>
        <w:rPr>
          <w:rFonts w:hint="eastAsia" w:ascii="宋体" w:hAnsi="宋体" w:eastAsia="宋体" w:cs="宋体"/>
          <w:kern w:val="0"/>
          <w:sz w:val="24"/>
          <w:szCs w:val="24"/>
          <w:lang w:val="en-US" w:eastAsia="zh-Hans"/>
        </w:rPr>
      </w:pPr>
      <w:r>
        <w:rPr>
          <w:rFonts w:hint="eastAsia" w:ascii="宋体" w:hAnsi="宋体" w:eastAsia="宋体" w:cs="宋体"/>
          <w:kern w:val="0"/>
          <w:sz w:val="24"/>
          <w:szCs w:val="24"/>
          <w:lang w:eastAsia="zh-CN"/>
        </w:rPr>
        <w:t xml:space="preserve">- Work presentation and assessment </w:t>
      </w:r>
      <w:r>
        <w:rPr>
          <w:rFonts w:hint="eastAsia" w:ascii="宋体" w:hAnsi="宋体" w:eastAsia="宋体" w:cs="宋体"/>
          <w:kern w:val="0"/>
          <w:sz w:val="24"/>
          <w:szCs w:val="24"/>
          <w:lang w:val="en-US" w:eastAsia="zh-Hans"/>
        </w:rPr>
        <w:t>小组展示和评价</w:t>
      </w:r>
    </w:p>
    <w:p>
      <w:pPr>
        <w:snapToGrid w:val="0"/>
        <w:spacing w:line="288" w:lineRule="auto"/>
        <w:ind w:left="402"/>
        <w:rPr>
          <w:rFonts w:hint="eastAsia" w:ascii="宋体" w:hAnsi="宋体" w:eastAsia="宋体" w:cs="宋体"/>
          <w:sz w:val="24"/>
          <w:szCs w:val="24"/>
        </w:rPr>
      </w:pPr>
    </w:p>
    <w:p>
      <w:pPr>
        <w:snapToGrid w:val="0"/>
        <w:spacing w:line="288" w:lineRule="auto"/>
        <w:rPr>
          <w:rFonts w:hint="eastAsia" w:ascii="宋体" w:hAnsi="宋体" w:eastAsia="宋体" w:cs="宋体"/>
          <w:sz w:val="24"/>
          <w:szCs w:val="24"/>
        </w:rPr>
      </w:pPr>
      <w:r>
        <w:rPr>
          <w:rFonts w:hint="eastAsia" w:ascii="宋体" w:hAnsi="宋体" w:eastAsia="宋体" w:cs="宋体"/>
          <w:sz w:val="24"/>
          <w:szCs w:val="24"/>
        </w:rPr>
        <w:t>重点：</w:t>
      </w:r>
    </w:p>
    <w:p>
      <w:pPr>
        <w:widowControl/>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Luxury market 奢侈品市场</w:t>
      </w:r>
    </w:p>
    <w:p>
      <w:pPr>
        <w:widowControl/>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Characteristics of luxury 奢侈品特征</w:t>
      </w:r>
    </w:p>
    <w:p>
      <w:pPr>
        <w:widowControl/>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Luxury brand pricing strategy 奢侈品牌定价策略</w:t>
      </w:r>
    </w:p>
    <w:p>
      <w:pPr>
        <w:widowControl/>
        <w:rPr>
          <w:rFonts w:hint="eastAsia" w:ascii="宋体" w:hAnsi="宋体" w:eastAsia="宋体" w:cs="宋体"/>
          <w:kern w:val="0"/>
          <w:sz w:val="24"/>
          <w:szCs w:val="24"/>
          <w:lang w:eastAsia="zh-Hans"/>
        </w:rPr>
      </w:pPr>
      <w:r>
        <w:rPr>
          <w:rFonts w:hint="eastAsia" w:ascii="宋体" w:hAnsi="宋体" w:eastAsia="宋体" w:cs="宋体"/>
          <w:kern w:val="0"/>
          <w:sz w:val="24"/>
          <w:szCs w:val="24"/>
          <w:lang w:eastAsia="zh-Hans"/>
        </w:rPr>
        <w:t>Luxury in the digital age数字时代奢侈品</w:t>
      </w:r>
    </w:p>
    <w:p>
      <w:pPr>
        <w:snapToGrid w:val="0"/>
        <w:spacing w:line="288" w:lineRule="auto"/>
        <w:rPr>
          <w:rFonts w:hint="eastAsia" w:ascii="宋体" w:hAnsi="宋体" w:eastAsia="宋体" w:cs="宋体"/>
          <w:sz w:val="24"/>
          <w:szCs w:val="24"/>
        </w:rPr>
      </w:pPr>
    </w:p>
    <w:p>
      <w:pPr>
        <w:snapToGrid w:val="0"/>
        <w:spacing w:line="288" w:lineRule="auto"/>
        <w:rPr>
          <w:rFonts w:hint="eastAsia" w:ascii="宋体" w:hAnsi="宋体" w:eastAsia="宋体" w:cs="宋体"/>
          <w:sz w:val="24"/>
          <w:szCs w:val="24"/>
        </w:rPr>
      </w:pPr>
      <w:r>
        <w:rPr>
          <w:rFonts w:hint="eastAsia" w:ascii="宋体" w:hAnsi="宋体" w:eastAsia="宋体" w:cs="宋体"/>
          <w:sz w:val="24"/>
          <w:szCs w:val="24"/>
        </w:rPr>
        <w:t>难点：</w:t>
      </w:r>
    </w:p>
    <w:p>
      <w:pPr>
        <w:widowControl/>
        <w:jc w:val="left"/>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kern w:val="0"/>
          <w:sz w:val="24"/>
          <w:szCs w:val="24"/>
        </w:rPr>
        <w:t xml:space="preserve"> </w:t>
      </w:r>
      <w:r>
        <w:rPr>
          <w:rFonts w:hint="eastAsia" w:ascii="宋体" w:hAnsi="宋体" w:eastAsia="宋体" w:cs="宋体"/>
          <w:kern w:val="0"/>
          <w:sz w:val="24"/>
          <w:szCs w:val="24"/>
          <w:lang w:eastAsia="zh-CN"/>
        </w:rPr>
        <w:t xml:space="preserve">Luxury </w:t>
      </w:r>
      <w:r>
        <w:rPr>
          <w:rFonts w:hint="eastAsia" w:ascii="宋体" w:hAnsi="宋体" w:eastAsia="宋体" w:cs="宋体"/>
          <w:kern w:val="0"/>
          <w:sz w:val="24"/>
          <w:szCs w:val="24"/>
          <w:lang w:val="en-US" w:eastAsia="zh-Hans"/>
        </w:rPr>
        <w:t>categories</w:t>
      </w:r>
      <w:r>
        <w:rPr>
          <w:rFonts w:hint="eastAsia" w:ascii="宋体" w:hAnsi="宋体" w:eastAsia="宋体" w:cs="宋体"/>
          <w:kern w:val="0"/>
          <w:sz w:val="24"/>
          <w:szCs w:val="24"/>
          <w:lang w:eastAsia="zh-Hans"/>
        </w:rPr>
        <w:t xml:space="preserve"> </w:t>
      </w:r>
      <w:r>
        <w:rPr>
          <w:rFonts w:hint="eastAsia" w:ascii="宋体" w:hAnsi="宋体" w:eastAsia="宋体" w:cs="宋体"/>
          <w:kern w:val="0"/>
          <w:sz w:val="24"/>
          <w:szCs w:val="24"/>
          <w:lang w:val="en-US" w:eastAsia="zh-Hans"/>
        </w:rPr>
        <w:t>and</w:t>
      </w:r>
      <w:r>
        <w:rPr>
          <w:rFonts w:hint="eastAsia" w:ascii="宋体" w:hAnsi="宋体" w:eastAsia="宋体" w:cs="宋体"/>
          <w:kern w:val="0"/>
          <w:sz w:val="24"/>
          <w:szCs w:val="24"/>
          <w:lang w:eastAsia="zh-Hans"/>
        </w:rPr>
        <w:t xml:space="preserve"> luxury index</w:t>
      </w:r>
      <w:r>
        <w:rPr>
          <w:rFonts w:hint="eastAsia" w:ascii="宋体" w:hAnsi="宋体" w:eastAsia="宋体" w:cs="宋体"/>
          <w:kern w:val="0"/>
          <w:sz w:val="24"/>
          <w:szCs w:val="24"/>
          <w:lang w:eastAsia="zh-CN"/>
        </w:rPr>
        <w:t xml:space="preserve"> </w:t>
      </w:r>
      <w:r>
        <w:rPr>
          <w:rFonts w:hint="eastAsia" w:ascii="宋体" w:hAnsi="宋体" w:eastAsia="宋体" w:cs="宋体"/>
          <w:kern w:val="0"/>
          <w:sz w:val="24"/>
          <w:szCs w:val="24"/>
          <w:lang w:val="en-US" w:eastAsia="zh-Hans"/>
        </w:rPr>
        <w:t>奢侈品品类和奢侈品指数</w:t>
      </w:r>
    </w:p>
    <w:p>
      <w:pPr>
        <w:pStyle w:val="9"/>
        <w:snapToGrid w:val="0"/>
        <w:spacing w:line="288" w:lineRule="auto"/>
        <w:ind w:left="0" w:leftChars="0" w:firstLine="0" w:firstLineChars="0"/>
        <w:rPr>
          <w:rFonts w:hint="eastAsia" w:ascii="宋体" w:hAnsi="宋体" w:eastAsia="宋体" w:cs="宋体"/>
          <w:kern w:val="0"/>
          <w:sz w:val="24"/>
          <w:szCs w:val="24"/>
          <w:lang w:val="en-US" w:eastAsia="zh-CN" w:bidi="ar-SA"/>
        </w:rPr>
      </w:pPr>
      <w:r>
        <w:rPr>
          <w:rFonts w:hint="eastAsia" w:ascii="宋体" w:hAnsi="宋体" w:eastAsia="宋体" w:cs="宋体"/>
          <w:sz w:val="24"/>
          <w:szCs w:val="24"/>
        </w:rPr>
        <w:t>2.</w:t>
      </w:r>
      <w:r>
        <w:rPr>
          <w:rFonts w:hint="eastAsia" w:ascii="宋体" w:hAnsi="宋体" w:eastAsia="宋体" w:cs="宋体"/>
          <w:kern w:val="0"/>
          <w:sz w:val="24"/>
          <w:szCs w:val="24"/>
          <w:lang w:val="en-US" w:eastAsia="zh-CN" w:bidi="ar-SA"/>
        </w:rPr>
        <w:t xml:space="preserve"> Luxury brand marketing in the digital age数字时代奢侈品牌营销</w:t>
      </w:r>
    </w:p>
    <w:p>
      <w:pPr>
        <w:snapToGrid w:val="0"/>
        <w:spacing w:line="288" w:lineRule="auto"/>
        <w:ind w:right="2520"/>
        <w:rPr>
          <w:rFonts w:ascii="黑体" w:hAnsi="宋体" w:eastAsia="黑体"/>
          <w:sz w:val="24"/>
        </w:rPr>
      </w:pPr>
      <w:bookmarkStart w:id="1" w:name="_GoBack"/>
      <w:bookmarkEnd w:id="1"/>
    </w:p>
    <w:tbl>
      <w:tblPr>
        <w:tblStyle w:val="5"/>
        <w:tblpPr w:leftFromText="180" w:rightFromText="180" w:vertAnchor="text" w:horzAnchor="page" w:tblpX="1853" w:tblpY="717"/>
        <w:tblOverlap w:val="never"/>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9"/>
        <w:gridCol w:w="413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9"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总评构成（X）</w:t>
            </w:r>
          </w:p>
        </w:tc>
        <w:tc>
          <w:tcPr>
            <w:tcW w:w="4137" w:type="dxa"/>
            <w:shd w:val="clear" w:color="auto" w:fill="auto"/>
          </w:tcPr>
          <w:p>
            <w:pPr>
              <w:snapToGrid w:val="0"/>
              <w:spacing w:before="156" w:beforeLines="50" w:after="156" w:afterLines="50"/>
              <w:jc w:val="center"/>
              <w:rPr>
                <w:rFonts w:hint="eastAsia" w:ascii="宋体" w:hAnsi="宋体" w:eastAsia="宋体"/>
                <w:bCs/>
                <w:color w:val="000000"/>
                <w:szCs w:val="20"/>
                <w:lang w:val="en-US" w:eastAsia="zh-Hans"/>
              </w:rPr>
            </w:pPr>
            <w:r>
              <w:rPr>
                <w:rFonts w:hint="eastAsia" w:ascii="宋体" w:hAnsi="宋体"/>
                <w:bCs/>
                <w:color w:val="000000"/>
                <w:szCs w:val="20"/>
              </w:rPr>
              <w:t>评价方式</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9" w:type="dxa"/>
            <w:shd w:val="clear" w:color="auto" w:fill="auto"/>
            <w:vAlign w:val="top"/>
          </w:tcPr>
          <w:p>
            <w:pPr>
              <w:snapToGrid w:val="0"/>
              <w:spacing w:before="156" w:beforeLines="50" w:after="156" w:afterLines="50"/>
              <w:jc w:val="center"/>
              <w:rPr>
                <w:rFonts w:ascii="宋体" w:hAnsi="宋体" w:eastAsia="宋体" w:cs="Times New Roman"/>
                <w:bCs/>
                <w:color w:val="000000"/>
                <w:kern w:val="2"/>
                <w:sz w:val="21"/>
                <w:szCs w:val="20"/>
                <w:lang w:val="en-US" w:eastAsia="zh-CN" w:bidi="ar-SA"/>
              </w:rPr>
            </w:pPr>
            <w:r>
              <w:rPr>
                <w:rFonts w:ascii="宋体" w:hAnsi="宋体"/>
                <w:bCs/>
                <w:color w:val="000000"/>
                <w:szCs w:val="20"/>
              </w:rPr>
              <w:t>X</w:t>
            </w:r>
            <w:r>
              <w:rPr>
                <w:rFonts w:hint="eastAsia" w:ascii="宋体" w:hAnsi="宋体"/>
                <w:bCs/>
                <w:color w:val="000000"/>
                <w:szCs w:val="20"/>
              </w:rPr>
              <w:t>1</w:t>
            </w:r>
          </w:p>
        </w:tc>
        <w:tc>
          <w:tcPr>
            <w:tcW w:w="413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课堂练习</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9" w:type="dxa"/>
            <w:shd w:val="clear" w:color="auto" w:fill="auto"/>
            <w:vAlign w:val="top"/>
          </w:tcPr>
          <w:p>
            <w:pPr>
              <w:snapToGrid w:val="0"/>
              <w:spacing w:before="156" w:beforeLines="50" w:after="156" w:afterLines="50"/>
              <w:jc w:val="center"/>
              <w:rPr>
                <w:rFonts w:ascii="宋体" w:hAnsi="宋体" w:eastAsia="宋体" w:cs="Times New Roman"/>
                <w:bCs/>
                <w:color w:val="000000"/>
                <w:kern w:val="2"/>
                <w:sz w:val="21"/>
                <w:szCs w:val="20"/>
                <w:lang w:val="en-US" w:eastAsia="zh-CN" w:bidi="ar-SA"/>
              </w:rPr>
            </w:pPr>
            <w:r>
              <w:rPr>
                <w:rFonts w:hint="eastAsia" w:ascii="宋体" w:hAnsi="宋体"/>
                <w:bCs/>
                <w:color w:val="000000"/>
                <w:szCs w:val="20"/>
              </w:rPr>
              <w:t>X2</w:t>
            </w:r>
          </w:p>
        </w:tc>
        <w:tc>
          <w:tcPr>
            <w:tcW w:w="413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课程报告</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09" w:type="dxa"/>
            <w:shd w:val="clear" w:color="auto" w:fill="auto"/>
            <w:vAlign w:val="top"/>
          </w:tcPr>
          <w:p>
            <w:pPr>
              <w:snapToGrid w:val="0"/>
              <w:spacing w:before="156" w:beforeLines="50" w:after="156" w:afterLines="50"/>
              <w:jc w:val="center"/>
              <w:rPr>
                <w:rFonts w:ascii="宋体" w:hAnsi="宋体" w:eastAsia="宋体" w:cs="Times New Roman"/>
                <w:bCs/>
                <w:color w:val="000000"/>
                <w:kern w:val="2"/>
                <w:sz w:val="21"/>
                <w:szCs w:val="20"/>
                <w:lang w:val="en-US" w:eastAsia="zh-CN" w:bidi="ar-SA"/>
              </w:rPr>
            </w:pPr>
            <w:r>
              <w:rPr>
                <w:rFonts w:hint="eastAsia" w:ascii="宋体" w:hAnsi="宋体"/>
                <w:bCs/>
                <w:color w:val="000000"/>
                <w:szCs w:val="20"/>
              </w:rPr>
              <w:t>X3</w:t>
            </w:r>
          </w:p>
        </w:tc>
        <w:tc>
          <w:tcPr>
            <w:tcW w:w="4137" w:type="dxa"/>
            <w:shd w:val="clear" w:color="auto" w:fill="auto"/>
          </w:tcPr>
          <w:p>
            <w:pPr>
              <w:snapToGrid w:val="0"/>
              <w:spacing w:before="156" w:beforeLines="50" w:after="156" w:afterLines="50"/>
              <w:jc w:val="center"/>
              <w:rPr>
                <w:rFonts w:ascii="宋体" w:hAnsi="宋体"/>
                <w:bCs/>
                <w:color w:val="000000"/>
                <w:szCs w:val="20"/>
              </w:rPr>
            </w:pPr>
            <w:r>
              <w:rPr>
                <w:rFonts w:hint="eastAsia" w:ascii="宋体" w:hAnsi="宋体"/>
                <w:bCs/>
                <w:color w:val="000000"/>
                <w:szCs w:val="20"/>
              </w:rPr>
              <w:t>课堂展示PPT</w:t>
            </w:r>
          </w:p>
        </w:tc>
        <w:tc>
          <w:tcPr>
            <w:tcW w:w="1843" w:type="dxa"/>
            <w:shd w:val="clear" w:color="auto" w:fill="auto"/>
          </w:tcPr>
          <w:p>
            <w:pPr>
              <w:snapToGrid w:val="0"/>
              <w:spacing w:before="156" w:beforeLines="50" w:after="156" w:afterLines="50"/>
              <w:jc w:val="center"/>
              <w:rPr>
                <w:rFonts w:ascii="宋体" w:hAnsi="宋体"/>
                <w:bCs/>
                <w:color w:val="000000"/>
                <w:szCs w:val="20"/>
              </w:rPr>
            </w:pPr>
            <w:r>
              <w:rPr>
                <w:rFonts w:ascii="宋体" w:hAnsi="宋体"/>
                <w:bCs/>
                <w:color w:val="000000"/>
                <w:szCs w:val="20"/>
              </w:rPr>
              <w:t>40%</w:t>
            </w:r>
          </w:p>
        </w:tc>
      </w:tr>
    </w:tbl>
    <w:p>
      <w:pPr>
        <w:snapToGrid w:val="0"/>
        <w:spacing w:line="288" w:lineRule="auto"/>
        <w:ind w:right="2520" w:firstLine="480" w:firstLineChars="200"/>
        <w:rPr>
          <w:rFonts w:ascii="宋体" w:hAnsi="宋体"/>
          <w:sz w:val="20"/>
          <w:szCs w:val="20"/>
        </w:rPr>
      </w:pPr>
      <w:r>
        <w:rPr>
          <w:rFonts w:hint="eastAsia" w:ascii="黑体" w:hAnsi="宋体" w:eastAsia="黑体"/>
          <w:sz w:val="24"/>
          <w:lang w:val="en-US" w:eastAsia="zh-Hans"/>
        </w:rPr>
        <w:t>七</w:t>
      </w:r>
      <w:r>
        <w:rPr>
          <w:rFonts w:hint="eastAsia" w:ascii="黑体" w:hAnsi="宋体" w:eastAsia="黑体"/>
          <w:sz w:val="24"/>
        </w:rPr>
        <w:t>、评价方式与成绩</w:t>
      </w:r>
    </w:p>
    <w:p>
      <w:pPr>
        <w:snapToGrid w:val="0"/>
        <w:spacing w:line="288" w:lineRule="auto"/>
        <w:rPr>
          <w:sz w:val="28"/>
          <w:szCs w:val="28"/>
        </w:rPr>
      </w:pPr>
      <w:r>
        <w:rPr>
          <w:rFonts w:hint="eastAsia"/>
          <w:sz w:val="28"/>
          <w:szCs w:val="28"/>
        </w:rPr>
        <w:t xml:space="preserve">撰写人：吴璠 系主任审核签名：吴璠 </w:t>
      </w:r>
      <w:r>
        <w:drawing>
          <wp:inline distT="0" distB="0" distL="0" distR="0">
            <wp:extent cx="670560" cy="358140"/>
            <wp:effectExtent l="0" t="0" r="0" b="3810"/>
            <wp:docPr id="2" name="Picture 2" descr="A picture containing insec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nsect&#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672422" cy="359239"/>
                    </a:xfrm>
                    <a:prstGeom prst="rect">
                      <a:avLst/>
                    </a:prstGeom>
                    <a:noFill/>
                    <a:ln>
                      <a:noFill/>
                    </a:ln>
                  </pic:spPr>
                </pic:pic>
              </a:graphicData>
            </a:graphic>
          </wp:inline>
        </w:drawing>
      </w:r>
      <w:r>
        <w:rPr>
          <w:rFonts w:hint="eastAsia"/>
          <w:sz w:val="28"/>
          <w:szCs w:val="28"/>
        </w:rPr>
        <w:t>审核时间：2</w:t>
      </w:r>
      <w:r>
        <w:rPr>
          <w:sz w:val="28"/>
          <w:szCs w:val="28"/>
        </w:rPr>
        <w:t>020</w:t>
      </w:r>
      <w:r>
        <w:rPr>
          <w:rFonts w:hint="eastAsia"/>
          <w:sz w:val="28"/>
          <w:szCs w:val="28"/>
          <w:lang w:val="en-US" w:eastAsia="zh-Hans"/>
        </w:rPr>
        <w:t>年</w:t>
      </w:r>
      <w:r>
        <w:rPr>
          <w:rFonts w:hint="default"/>
          <w:sz w:val="28"/>
          <w:szCs w:val="28"/>
          <w:lang w:eastAsia="zh-Hans"/>
        </w:rPr>
        <w:t>9</w:t>
      </w:r>
      <w:r>
        <w:rPr>
          <w:rFonts w:hint="eastAsia"/>
          <w:sz w:val="28"/>
          <w:szCs w:val="28"/>
          <w:lang w:val="en-US" w:eastAsia="zh-Hans"/>
        </w:rPr>
        <w:t>月</w:t>
      </w:r>
      <w:r>
        <w:rPr>
          <w:rFonts w:hint="eastAsia"/>
          <w:sz w:val="28"/>
          <w:szCs w:val="28"/>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方正小标宋简体">
    <w:altName w:val="汉仪书宋二KW"/>
    <w:panose1 w:val="00000000000000000000"/>
    <w:charset w:val="86"/>
    <w:family w:val="script"/>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Arial">
    <w:panose1 w:val="020B0604020202090204"/>
    <w:charset w:val="00"/>
    <w:family w:val="swiss"/>
    <w:pitch w:val="default"/>
    <w:sig w:usb0="E0000AFF" w:usb1="00007843" w:usb2="00000001" w:usb3="00000000" w:csb0="400001BF" w:csb1="DFF70000"/>
  </w:font>
  <w:font w:name="黑体">
    <w:altName w:val="汉仪中黑KW"/>
    <w:panose1 w:val="02010609060101010101"/>
    <w:charset w:val="86"/>
    <w:family w:val="modern"/>
    <w:pitch w:val="default"/>
    <w:sig w:usb0="00000000" w:usb1="00000000" w:usb2="00000016"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楷体_GB2312">
    <w:altName w:val="汉仪楷体简"/>
    <w:panose1 w:val="00000000000000000000"/>
    <w:charset w:val="86"/>
    <w:family w:val="modern"/>
    <w:pitch w:val="default"/>
    <w:sig w:usb0="00000000" w:usb1="00000000" w:usb2="00000016" w:usb3="00000000" w:csb0="00040001" w:csb1="00000000"/>
  </w:font>
  <w:font w:name="Wingdings 2">
    <w:panose1 w:val="05020102010507070707"/>
    <w:charset w:val="02"/>
    <w:family w:val="roman"/>
    <w:pitch w:val="default"/>
    <w:sig w:usb0="00000000" w:usb1="00000000" w:usb2="00000000" w:usb3="00000000" w:csb0="80000000" w:csb1="00000000"/>
  </w:font>
  <w:font w:name="Calibri-BoldItalic">
    <w:altName w:val="苹方-简"/>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Wingdings 2">
    <w:panose1 w:val="05020102010507070707"/>
    <w:charset w:val="00"/>
    <w:family w:val="auto"/>
    <w:pitch w:val="default"/>
    <w:sig w:usb0="00000000" w:usb1="00000000" w:usb2="00000000" w:usb3="00000000" w:csb0="80000000" w:csb1="00000000"/>
  </w:font>
  <w:font w:name="Wingdings">
    <w:panose1 w:val="05000000000000000000"/>
    <w:charset w:val="02"/>
    <w:family w:val="auto"/>
    <w:pitch w:val="default"/>
    <w:sig w:usb0="00000000" w:usb1="00000000" w:usb2="00000000" w:usb3="00000000" w:csb0="80000000" w:csb1="00000000"/>
  </w:font>
  <w:font w:name="PMingLiU">
    <w:altName w:val="宋体-繁"/>
    <w:panose1 w:val="02010601000101010101"/>
    <w:charset w:val="88"/>
    <w:family w:val="roman"/>
    <w:pitch w:val="default"/>
    <w:sig w:usb0="00000000" w:usb1="00000000" w:usb2="00000016" w:usb3="00000000" w:csb0="00100001" w:csb1="00000000"/>
  </w:font>
  <w:font w:name="Tahoma">
    <w:panose1 w:val="020B0804030504040204"/>
    <w:charset w:val="00"/>
    <w:family w:val="swiss"/>
    <w:pitch w:val="default"/>
    <w:sig w:usb0="E1002AFF" w:usb1="C000605B" w:usb2="00000029" w:usb3="00000000" w:csb0="200101FF" w:csb1="20280000"/>
  </w:font>
  <w:font w:name="華康儷中黑">
    <w:altName w:val="苹方-简"/>
    <w:panose1 w:val="00000000000000000000"/>
    <w:charset w:val="88"/>
    <w:family w:val="swiss"/>
    <w:pitch w:val="default"/>
    <w:sig w:usb0="00000000" w:usb1="00000000" w:usb2="00000016" w:usb3="00000000" w:csb0="00100000" w:csb1="00000000"/>
  </w:font>
  <w:font w:name="ITC Bookman Demi">
    <w:altName w:val="苹方-简"/>
    <w:panose1 w:val="00000000000000000000"/>
    <w:charset w:val="00"/>
    <w:family w:val="modern"/>
    <w:pitch w:val="default"/>
    <w:sig w:usb0="00000000" w:usb1="00000000" w:usb2="00000000" w:usb3="00000000" w:csb0="00000093" w:csb1="00000000"/>
  </w:font>
  <w:font w:name="華康粗圓體">
    <w:altName w:val="苹方-简"/>
    <w:panose1 w:val="00000000000000000000"/>
    <w:charset w:val="88"/>
    <w:family w:val="swiss"/>
    <w:pitch w:val="default"/>
    <w:sig w:usb0="00000000" w:usb1="00000000" w:usb2="00000016" w:usb3="00000000" w:csb0="00100000" w:csb1="00000000"/>
  </w:font>
  <w:font w:name="DotumChe">
    <w:altName w:val="Apple SD Gothic Neo"/>
    <w:panose1 w:val="00000000000000000000"/>
    <w:charset w:val="81"/>
    <w:family w:val="modern"/>
    <w:pitch w:val="default"/>
    <w:sig w:usb0="00000000" w:usb1="00000000" w:usb2="00000030" w:usb3="00000000" w:csb0="0008009F" w:csb1="00000000"/>
  </w:font>
  <w:font w:name="宋体-繁">
    <w:panose1 w:val="02010600040101010101"/>
    <w:charset w:val="86"/>
    <w:family w:val="auto"/>
    <w:pitch w:val="default"/>
    <w:sig w:usb0="00000287" w:usb1="080F0000" w:usb2="00000000" w:usb3="00000000" w:csb0="0004009F" w:csb1="DFD70000"/>
  </w:font>
  <w:font w:name="Apple SD Gothic Neo">
    <w:panose1 w:val="02000300000000000000"/>
    <w:charset w:val="81"/>
    <w:family w:val="auto"/>
    <w:pitch w:val="default"/>
    <w:sig w:usb0="00000203" w:usb1="21D12C10" w:usb2="00000010" w:usb3="00000000" w:csb0="00280005" w:csb1="00000000"/>
  </w:font>
  <w:font w:name="黑体">
    <w:altName w:val="汉仪中黑KW"/>
    <w:panose1 w:val="02010609060101010101"/>
    <w:charset w:val="00"/>
    <w:family w:val="modern"/>
    <w:pitch w:val="default"/>
    <w:sig w:usb0="00000000" w:usb1="00000000" w:usb2="00000016"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PingFangHK">
    <w:altName w:val="苹方-简"/>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01424F"/>
    <w:rsid w:val="001072BC"/>
    <w:rsid w:val="001D5715"/>
    <w:rsid w:val="00256B39"/>
    <w:rsid w:val="0026033C"/>
    <w:rsid w:val="002E3721"/>
    <w:rsid w:val="00313BBA"/>
    <w:rsid w:val="0032602E"/>
    <w:rsid w:val="00331862"/>
    <w:rsid w:val="003367AE"/>
    <w:rsid w:val="003B1258"/>
    <w:rsid w:val="004100B0"/>
    <w:rsid w:val="00490D1B"/>
    <w:rsid w:val="005467DC"/>
    <w:rsid w:val="00553D03"/>
    <w:rsid w:val="00584C14"/>
    <w:rsid w:val="005B2B6D"/>
    <w:rsid w:val="005B4B4E"/>
    <w:rsid w:val="005F044A"/>
    <w:rsid w:val="00624FE1"/>
    <w:rsid w:val="007208D6"/>
    <w:rsid w:val="008825FE"/>
    <w:rsid w:val="008B397C"/>
    <w:rsid w:val="008B47F4"/>
    <w:rsid w:val="00900019"/>
    <w:rsid w:val="0099063E"/>
    <w:rsid w:val="00A42682"/>
    <w:rsid w:val="00A769B1"/>
    <w:rsid w:val="00A837D5"/>
    <w:rsid w:val="00AC4C45"/>
    <w:rsid w:val="00B46F21"/>
    <w:rsid w:val="00B511A5"/>
    <w:rsid w:val="00B65FDA"/>
    <w:rsid w:val="00B736A7"/>
    <w:rsid w:val="00B7651F"/>
    <w:rsid w:val="00C56E09"/>
    <w:rsid w:val="00CF096B"/>
    <w:rsid w:val="00E16D30"/>
    <w:rsid w:val="00E33169"/>
    <w:rsid w:val="00E70904"/>
    <w:rsid w:val="00E9181E"/>
    <w:rsid w:val="00EF44B1"/>
    <w:rsid w:val="00F24F7D"/>
    <w:rsid w:val="00F35AA0"/>
    <w:rsid w:val="016E63C2"/>
    <w:rsid w:val="024B0C39"/>
    <w:rsid w:val="0A8128A6"/>
    <w:rsid w:val="0BF32A1B"/>
    <w:rsid w:val="10BD2C22"/>
    <w:rsid w:val="22987C80"/>
    <w:rsid w:val="24192CCC"/>
    <w:rsid w:val="39A66CD4"/>
    <w:rsid w:val="3CD52CE1"/>
    <w:rsid w:val="410F2E6A"/>
    <w:rsid w:val="4430136C"/>
    <w:rsid w:val="4AB0382B"/>
    <w:rsid w:val="4E961118"/>
    <w:rsid w:val="569868B5"/>
    <w:rsid w:val="5B9A017F"/>
    <w:rsid w:val="611F6817"/>
    <w:rsid w:val="66CA1754"/>
    <w:rsid w:val="67D302E8"/>
    <w:rsid w:val="6F1E65D4"/>
    <w:rsid w:val="6F266C86"/>
    <w:rsid w:val="6F5042C2"/>
    <w:rsid w:val="74316312"/>
    <w:rsid w:val="776383C6"/>
    <w:rsid w:val="780F13C8"/>
    <w:rsid w:val="7BBF216F"/>
    <w:rsid w:val="7C385448"/>
    <w:rsid w:val="7CB3663D"/>
    <w:rsid w:val="7D7ADD68"/>
    <w:rsid w:val="7EEF24D9"/>
    <w:rsid w:val="7FB3EEAC"/>
    <w:rsid w:val="7FF31A38"/>
    <w:rsid w:val="9E8AB613"/>
    <w:rsid w:val="AC7ADE12"/>
    <w:rsid w:val="DDFF5E9A"/>
    <w:rsid w:val="EDFB2CAA"/>
    <w:rsid w:val="EFBE037B"/>
    <w:rsid w:val="F71C4878"/>
    <w:rsid w:val="FBE69064"/>
    <w:rsid w:val="FBFEE6E4"/>
    <w:rsid w:val="FECD6E8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Header Char"/>
    <w:basedOn w:val="4"/>
    <w:link w:val="3"/>
    <w:semiHidden/>
    <w:qFormat/>
    <w:uiPriority w:val="99"/>
    <w:rPr>
      <w:sz w:val="18"/>
      <w:szCs w:val="18"/>
    </w:rPr>
  </w:style>
  <w:style w:type="character" w:customStyle="1" w:styleId="8">
    <w:name w:val="Footer Char"/>
    <w:basedOn w:val="4"/>
    <w:link w:val="2"/>
    <w:semiHidden/>
    <w:qFormat/>
    <w:uiPriority w:val="99"/>
    <w:rPr>
      <w:sz w:val="18"/>
      <w:szCs w:val="18"/>
    </w:rPr>
  </w:style>
  <w:style w:type="paragraph" w:customStyle="1" w:styleId="9">
    <w:name w:val="List Paragraph"/>
    <w:basedOn w:val="1"/>
    <w:unhideWhenUsed/>
    <w:qFormat/>
    <w:uiPriority w:val="99"/>
    <w:pPr>
      <w:spacing w:after="200" w:line="276" w:lineRule="auto"/>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805</Words>
  <Characters>4595</Characters>
  <Lines>38</Lines>
  <Paragraphs>10</Paragraphs>
  <ScaleCrop>false</ScaleCrop>
  <LinksUpToDate>false</LinksUpToDate>
  <CharactersWithSpaces>5390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2021-09-08T20:09:00Z</dcterms:created>
  <dc:creator>juvg</dc:creator>
  <cp:lastModifiedBy>lulululu</cp:lastModifiedBy>
  <cp:lastPrinted>2021-09-08T20:20:00Z</cp:lastPrinted>
  <dcterms:modified xsi:type="dcterms:W3CDTF">2022-11-01T12:59:05Z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