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C971" w14:textId="022E58FD" w:rsidR="00C74721" w:rsidRDefault="00FA2A90">
      <w:pPr>
        <w:spacing w:line="288" w:lineRule="auto"/>
        <w:jc w:val="center"/>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sidR="00723128">
        <w:pict w14:anchorId="40D0CA83">
          <v:shapetype id="_x0000_t202" coordsize="21600,21600" o:spt="202" path="m,l,21600r21600,l21600,xe">
            <v:stroke joinstyle="miter"/>
            <v:path gradientshapeok="t" o:connecttype="rect"/>
          </v:shapetype>
          <v:shape id="_x0000_s1026" type="#_x0000_t202" style="position:absolute;left:0;text-align:left;margin-left:41.8pt;margin-top:27.55pt;width:207.5pt;height:22.1pt;z-index:251658240;mso-position-horizontal-relative:page;mso-position-vertical-relative:page"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stroked="f" strokeweight=".5pt">
            <v:textbox>
              <w:txbxContent>
                <w:p w14:paraId="40D0CA84" w14:textId="77777777" w:rsidR="00C74721" w:rsidRDefault="00FA2A9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Pr>
          <w:rFonts w:asciiTheme="minorEastAsia" w:eastAsiaTheme="minorEastAsia" w:hAnsiTheme="minorEastAsia" w:hint="eastAsia"/>
          <w:bCs/>
          <w:kern w:val="0"/>
          <w:sz w:val="40"/>
          <w:szCs w:val="40"/>
        </w:rPr>
        <w:t xml:space="preserve">      </w:t>
      </w:r>
    </w:p>
    <w:p w14:paraId="40D0C972" w14:textId="77777777" w:rsidR="00C74721" w:rsidRDefault="00FA2A90">
      <w:pPr>
        <w:spacing w:line="288" w:lineRule="auto"/>
        <w:jc w:val="center"/>
        <w:rPr>
          <w:b/>
          <w:sz w:val="28"/>
          <w:szCs w:val="30"/>
        </w:rPr>
      </w:pPr>
      <w:r>
        <w:rPr>
          <w:rFonts w:hint="eastAsia"/>
          <w:b/>
          <w:sz w:val="28"/>
          <w:szCs w:val="30"/>
        </w:rPr>
        <w:t>【跨国公司管理】</w:t>
      </w:r>
    </w:p>
    <w:p w14:paraId="40D0C973" w14:textId="77777777" w:rsidR="00C74721" w:rsidRDefault="00FA2A90">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Transnational Corporation Management</w:t>
      </w:r>
      <w:r>
        <w:rPr>
          <w:rFonts w:hint="eastAsia"/>
          <w:b/>
          <w:sz w:val="28"/>
          <w:szCs w:val="30"/>
        </w:rPr>
        <w:t>】</w:t>
      </w:r>
      <w:bookmarkStart w:id="0" w:name="a2"/>
      <w:bookmarkEnd w:id="0"/>
    </w:p>
    <w:p w14:paraId="40D0C974" w14:textId="77777777" w:rsidR="00C74721" w:rsidRDefault="00FA2A90" w:rsidP="00B832D7">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14:paraId="40D0C975" w14:textId="77777777" w:rsidR="00C74721" w:rsidRDefault="00FA2A9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宋体" w:hAnsi="宋体" w:hint="eastAsia"/>
          <w:szCs w:val="21"/>
        </w:rPr>
        <w:t>2120059</w:t>
      </w:r>
      <w:r>
        <w:rPr>
          <w:color w:val="000000"/>
          <w:sz w:val="20"/>
          <w:szCs w:val="20"/>
        </w:rPr>
        <w:t>】</w:t>
      </w:r>
    </w:p>
    <w:p w14:paraId="40D0C976" w14:textId="77777777" w:rsidR="00C74721" w:rsidRDefault="00FA2A9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14:paraId="40D0C977" w14:textId="77777777" w:rsidR="00C74721" w:rsidRDefault="00FA2A9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工商管理（奢侈品管理）</w:t>
      </w:r>
      <w:r>
        <w:rPr>
          <w:color w:val="000000"/>
          <w:sz w:val="20"/>
          <w:szCs w:val="20"/>
        </w:rPr>
        <w:t>】</w:t>
      </w:r>
    </w:p>
    <w:p w14:paraId="40D0C978" w14:textId="77777777" w:rsidR="00C74721" w:rsidRDefault="00FA2A9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系统级必修课</w:t>
      </w:r>
      <w:r>
        <w:rPr>
          <w:color w:val="000000"/>
          <w:sz w:val="20"/>
          <w:szCs w:val="20"/>
        </w:rPr>
        <w:t>】</w:t>
      </w:r>
    </w:p>
    <w:p w14:paraId="40D0C979" w14:textId="77777777" w:rsidR="00C74721" w:rsidRDefault="00FA2A90">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珠宝学院奢侈品管理系</w:t>
      </w:r>
    </w:p>
    <w:p w14:paraId="40D0C97A" w14:textId="77777777" w:rsidR="00C74721" w:rsidRDefault="00FA2A90">
      <w:pPr>
        <w:snapToGrid w:val="0"/>
        <w:spacing w:line="288" w:lineRule="auto"/>
        <w:ind w:firstLineChars="196" w:firstLine="394"/>
        <w:rPr>
          <w:color w:val="000000"/>
          <w:sz w:val="20"/>
          <w:szCs w:val="20"/>
        </w:rPr>
      </w:pPr>
      <w:r>
        <w:rPr>
          <w:b/>
          <w:bCs/>
          <w:color w:val="000000"/>
          <w:sz w:val="20"/>
          <w:szCs w:val="20"/>
        </w:rPr>
        <w:t>使用教材：</w:t>
      </w:r>
    </w:p>
    <w:p w14:paraId="40D0C97B" w14:textId="77777777" w:rsidR="00C74721" w:rsidRDefault="00FA2A90">
      <w:pPr>
        <w:snapToGrid w:val="0"/>
        <w:spacing w:line="288" w:lineRule="auto"/>
        <w:ind w:firstLineChars="396" w:firstLine="792"/>
        <w:rPr>
          <w:color w:val="000000"/>
          <w:szCs w:val="21"/>
        </w:rPr>
      </w:pPr>
      <w:r>
        <w:rPr>
          <w:color w:val="000000"/>
          <w:sz w:val="20"/>
          <w:szCs w:val="20"/>
        </w:rPr>
        <w:t>教材【</w:t>
      </w:r>
      <w:r>
        <w:rPr>
          <w:rFonts w:hint="eastAsia"/>
          <w:color w:val="000000"/>
          <w:sz w:val="20"/>
          <w:szCs w:val="20"/>
        </w:rPr>
        <w:t>跨国公司管理（第</w:t>
      </w:r>
      <w:r>
        <w:rPr>
          <w:rFonts w:hint="eastAsia"/>
          <w:color w:val="000000"/>
          <w:sz w:val="20"/>
          <w:szCs w:val="20"/>
        </w:rPr>
        <w:t>2</w:t>
      </w:r>
      <w:r>
        <w:rPr>
          <w:rFonts w:hint="eastAsia"/>
          <w:color w:val="000000"/>
          <w:sz w:val="20"/>
          <w:szCs w:val="20"/>
        </w:rPr>
        <w:t>版），邹昭晞等主编，清华大学出版社，</w:t>
      </w:r>
      <w:r>
        <w:rPr>
          <w:rFonts w:hint="eastAsia"/>
          <w:color w:val="000000"/>
          <w:sz w:val="20"/>
          <w:szCs w:val="20"/>
        </w:rPr>
        <w:t>2019</w:t>
      </w:r>
      <w:r>
        <w:rPr>
          <w:rFonts w:hint="eastAsia"/>
          <w:color w:val="000000"/>
          <w:sz w:val="20"/>
          <w:szCs w:val="20"/>
        </w:rPr>
        <w:t>年</w:t>
      </w:r>
      <w:r>
        <w:rPr>
          <w:color w:val="000000"/>
          <w:sz w:val="20"/>
          <w:szCs w:val="20"/>
        </w:rPr>
        <w:t>】</w:t>
      </w:r>
    </w:p>
    <w:p w14:paraId="40D0C97C" w14:textId="77777777" w:rsidR="00C74721" w:rsidRDefault="00FA2A90">
      <w:pPr>
        <w:snapToGrid w:val="0"/>
        <w:spacing w:line="288" w:lineRule="auto"/>
        <w:ind w:firstLineChars="396" w:firstLine="792"/>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企业管理基础</w:t>
      </w:r>
      <w:r>
        <w:rPr>
          <w:color w:val="000000"/>
          <w:sz w:val="20"/>
          <w:szCs w:val="20"/>
        </w:rPr>
        <w:t>，</w:t>
      </w:r>
      <w:r>
        <w:rPr>
          <w:rFonts w:hint="eastAsia"/>
          <w:color w:val="000000"/>
          <w:sz w:val="20"/>
          <w:szCs w:val="20"/>
        </w:rPr>
        <w:t>李渠建</w:t>
      </w:r>
      <w:r>
        <w:rPr>
          <w:color w:val="000000"/>
          <w:sz w:val="20"/>
          <w:szCs w:val="20"/>
        </w:rPr>
        <w:t>编，高等教育出版社，</w:t>
      </w:r>
      <w:r>
        <w:rPr>
          <w:color w:val="000000"/>
          <w:sz w:val="20"/>
          <w:szCs w:val="20"/>
        </w:rPr>
        <w:t>20</w:t>
      </w:r>
      <w:r>
        <w:rPr>
          <w:rFonts w:hint="eastAsia"/>
          <w:color w:val="000000"/>
          <w:sz w:val="20"/>
          <w:szCs w:val="20"/>
        </w:rPr>
        <w:t>21</w:t>
      </w:r>
      <w:r>
        <w:rPr>
          <w:color w:val="000000"/>
          <w:sz w:val="20"/>
          <w:szCs w:val="20"/>
        </w:rPr>
        <w:t>年</w:t>
      </w:r>
    </w:p>
    <w:p w14:paraId="40D0C97D" w14:textId="77777777" w:rsidR="00C74721" w:rsidRDefault="00FA2A90">
      <w:pPr>
        <w:snapToGrid w:val="0"/>
        <w:spacing w:line="288" w:lineRule="auto"/>
        <w:ind w:firstLineChars="900" w:firstLine="1800"/>
        <w:rPr>
          <w:color w:val="000000"/>
          <w:sz w:val="20"/>
          <w:szCs w:val="20"/>
        </w:rPr>
      </w:pPr>
      <w:r>
        <w:rPr>
          <w:rFonts w:hint="eastAsia"/>
          <w:color w:val="000000"/>
          <w:sz w:val="20"/>
          <w:szCs w:val="20"/>
        </w:rPr>
        <w:t>管理会计实务（第二版）</w:t>
      </w:r>
      <w:r>
        <w:rPr>
          <w:color w:val="000000"/>
          <w:sz w:val="20"/>
          <w:szCs w:val="20"/>
        </w:rPr>
        <w:t>，</w:t>
      </w:r>
      <w:r>
        <w:rPr>
          <w:rFonts w:hint="eastAsia"/>
          <w:color w:val="000000"/>
          <w:sz w:val="20"/>
          <w:szCs w:val="20"/>
        </w:rPr>
        <w:t>杜学森等</w:t>
      </w:r>
      <w:r>
        <w:rPr>
          <w:color w:val="000000"/>
          <w:sz w:val="20"/>
          <w:szCs w:val="20"/>
        </w:rPr>
        <w:t>主编，高等教育出版社，</w:t>
      </w:r>
      <w:r>
        <w:rPr>
          <w:color w:val="000000"/>
          <w:sz w:val="20"/>
          <w:szCs w:val="20"/>
        </w:rPr>
        <w:t>20</w:t>
      </w:r>
      <w:r>
        <w:rPr>
          <w:rFonts w:hint="eastAsia"/>
          <w:color w:val="000000"/>
          <w:sz w:val="20"/>
          <w:szCs w:val="20"/>
        </w:rPr>
        <w:t>21</w:t>
      </w:r>
      <w:r>
        <w:rPr>
          <w:color w:val="000000"/>
          <w:sz w:val="20"/>
          <w:szCs w:val="20"/>
        </w:rPr>
        <w:t>年</w:t>
      </w:r>
    </w:p>
    <w:p w14:paraId="40D0C97E" w14:textId="77777777" w:rsidR="00C74721" w:rsidRDefault="00FA2A90">
      <w:pPr>
        <w:snapToGrid w:val="0"/>
        <w:spacing w:line="288" w:lineRule="auto"/>
        <w:ind w:firstLineChars="896" w:firstLine="1792"/>
        <w:rPr>
          <w:color w:val="000000"/>
          <w:sz w:val="20"/>
          <w:szCs w:val="20"/>
        </w:rPr>
      </w:pPr>
      <w:r>
        <w:rPr>
          <w:rFonts w:hint="eastAsia"/>
          <w:color w:val="000000"/>
          <w:sz w:val="20"/>
          <w:szCs w:val="20"/>
        </w:rPr>
        <w:t>行政管理学（第二版）</w:t>
      </w:r>
      <w:r>
        <w:rPr>
          <w:color w:val="000000"/>
          <w:sz w:val="20"/>
          <w:szCs w:val="20"/>
        </w:rPr>
        <w:t>，</w:t>
      </w:r>
      <w:r>
        <w:rPr>
          <w:rFonts w:hint="eastAsia"/>
          <w:color w:val="000000"/>
          <w:sz w:val="20"/>
          <w:szCs w:val="20"/>
        </w:rPr>
        <w:t>郑志龙等主</w:t>
      </w:r>
      <w:r>
        <w:rPr>
          <w:color w:val="000000"/>
          <w:sz w:val="20"/>
          <w:szCs w:val="20"/>
        </w:rPr>
        <w:t>编，高等教育出版社，</w:t>
      </w:r>
      <w:r>
        <w:rPr>
          <w:color w:val="000000"/>
          <w:sz w:val="20"/>
          <w:szCs w:val="20"/>
        </w:rPr>
        <w:t>20</w:t>
      </w:r>
      <w:r>
        <w:rPr>
          <w:rFonts w:hint="eastAsia"/>
          <w:color w:val="000000"/>
          <w:sz w:val="20"/>
          <w:szCs w:val="20"/>
        </w:rPr>
        <w:t>21</w:t>
      </w:r>
      <w:r>
        <w:rPr>
          <w:color w:val="000000"/>
          <w:sz w:val="20"/>
          <w:szCs w:val="20"/>
        </w:rPr>
        <w:t>年</w:t>
      </w:r>
    </w:p>
    <w:p w14:paraId="40D0C97F" w14:textId="77777777" w:rsidR="00C74721" w:rsidRDefault="00FA2A90">
      <w:pPr>
        <w:snapToGrid w:val="0"/>
        <w:spacing w:line="288" w:lineRule="auto"/>
        <w:ind w:firstLineChars="896" w:firstLine="1792"/>
        <w:rPr>
          <w:color w:val="000000"/>
          <w:sz w:val="20"/>
          <w:szCs w:val="20"/>
        </w:rPr>
      </w:pPr>
      <w:r>
        <w:rPr>
          <w:color w:val="000000"/>
          <w:sz w:val="20"/>
          <w:szCs w:val="20"/>
        </w:rPr>
        <w:t>组织行为学（第四版），关培兰编，中国人民大学出版社，</w:t>
      </w:r>
      <w:r>
        <w:rPr>
          <w:color w:val="000000"/>
          <w:sz w:val="20"/>
          <w:szCs w:val="20"/>
        </w:rPr>
        <w:t>2015</w:t>
      </w:r>
      <w:r>
        <w:rPr>
          <w:color w:val="000000"/>
          <w:sz w:val="20"/>
          <w:szCs w:val="20"/>
        </w:rPr>
        <w:t>年】</w:t>
      </w:r>
    </w:p>
    <w:p w14:paraId="40D0C980" w14:textId="77777777" w:rsidR="00C74721" w:rsidRDefault="00FA2A90">
      <w:pPr>
        <w:snapToGrid w:val="0"/>
        <w:spacing w:line="288" w:lineRule="auto"/>
        <w:ind w:firstLineChars="196" w:firstLine="394"/>
        <w:rPr>
          <w:b/>
          <w:bCs/>
          <w:color w:val="000000"/>
          <w:sz w:val="20"/>
          <w:szCs w:val="20"/>
        </w:rPr>
      </w:pPr>
      <w:r>
        <w:rPr>
          <w:rFonts w:hint="eastAsia"/>
          <w:b/>
          <w:bCs/>
          <w:color w:val="000000"/>
          <w:sz w:val="20"/>
          <w:szCs w:val="20"/>
        </w:rPr>
        <w:t>课程网站网址：</w:t>
      </w:r>
      <w:r>
        <w:rPr>
          <w:rFonts w:hint="eastAsia"/>
          <w:b/>
          <w:bCs/>
          <w:color w:val="000000"/>
          <w:sz w:val="20"/>
          <w:szCs w:val="20"/>
        </w:rPr>
        <w:t>www.gench.edu.cn</w:t>
      </w:r>
    </w:p>
    <w:p w14:paraId="40D0C981" w14:textId="77777777" w:rsidR="00C74721" w:rsidRDefault="00FA2A90">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计算机应用基础（</w:t>
      </w:r>
      <w:r>
        <w:rPr>
          <w:rFonts w:hint="eastAsia"/>
          <w:color w:val="000000"/>
          <w:sz w:val="20"/>
          <w:szCs w:val="20"/>
        </w:rPr>
        <w:t>1</w:t>
      </w:r>
      <w:r>
        <w:rPr>
          <w:rFonts w:hint="eastAsia"/>
          <w:color w:val="000000"/>
          <w:sz w:val="20"/>
          <w:szCs w:val="20"/>
        </w:rPr>
        <w:t>）理解：</w:t>
      </w:r>
      <w:r>
        <w:rPr>
          <w:rFonts w:hint="eastAsia"/>
          <w:color w:val="000000"/>
          <w:sz w:val="20"/>
          <w:szCs w:val="20"/>
        </w:rPr>
        <w:t xml:space="preserve"> 2050206 </w:t>
      </w:r>
      <w:r>
        <w:rPr>
          <w:rFonts w:hint="eastAsia"/>
          <w:color w:val="000000"/>
          <w:sz w:val="20"/>
          <w:szCs w:val="20"/>
        </w:rPr>
        <w:t>（</w:t>
      </w:r>
      <w:r>
        <w:rPr>
          <w:rFonts w:hint="eastAsia"/>
          <w:color w:val="000000"/>
          <w:sz w:val="20"/>
          <w:szCs w:val="20"/>
        </w:rPr>
        <w:t>2</w:t>
      </w:r>
      <w:r>
        <w:rPr>
          <w:rFonts w:hint="eastAsia"/>
          <w:color w:val="000000"/>
          <w:sz w:val="20"/>
          <w:szCs w:val="20"/>
        </w:rPr>
        <w:t>学分）</w:t>
      </w:r>
    </w:p>
    <w:p w14:paraId="40D0C982" w14:textId="77777777" w:rsidR="00C74721" w:rsidRDefault="00FA2A90">
      <w:pPr>
        <w:adjustRightInd w:val="0"/>
        <w:snapToGrid w:val="0"/>
        <w:spacing w:line="288" w:lineRule="auto"/>
        <w:ind w:firstLineChars="196" w:firstLine="392"/>
        <w:rPr>
          <w:color w:val="000000"/>
          <w:sz w:val="20"/>
          <w:szCs w:val="20"/>
        </w:rPr>
      </w:pPr>
      <w:r>
        <w:rPr>
          <w:rFonts w:hint="eastAsia"/>
          <w:color w:val="000000"/>
          <w:sz w:val="20"/>
          <w:szCs w:val="20"/>
        </w:rPr>
        <w:t xml:space="preserve">           </w:t>
      </w:r>
      <w:r>
        <w:rPr>
          <w:rFonts w:hint="eastAsia"/>
          <w:color w:val="000000"/>
          <w:sz w:val="20"/>
          <w:szCs w:val="20"/>
        </w:rPr>
        <w:t>计算机应用基础（</w:t>
      </w:r>
      <w:r>
        <w:rPr>
          <w:rFonts w:hint="eastAsia"/>
          <w:color w:val="000000"/>
          <w:sz w:val="20"/>
          <w:szCs w:val="20"/>
        </w:rPr>
        <w:t>2</w:t>
      </w:r>
      <w:r>
        <w:rPr>
          <w:rFonts w:hint="eastAsia"/>
          <w:color w:val="000000"/>
          <w:sz w:val="20"/>
          <w:szCs w:val="20"/>
        </w:rPr>
        <w:t>）分析：</w:t>
      </w:r>
      <w:r>
        <w:rPr>
          <w:rFonts w:hint="eastAsia"/>
          <w:color w:val="000000"/>
          <w:sz w:val="20"/>
          <w:szCs w:val="20"/>
        </w:rPr>
        <w:t xml:space="preserve"> 2050207 </w:t>
      </w:r>
      <w:r>
        <w:rPr>
          <w:rFonts w:hint="eastAsia"/>
          <w:color w:val="000000"/>
          <w:sz w:val="20"/>
          <w:szCs w:val="20"/>
        </w:rPr>
        <w:t>（</w:t>
      </w:r>
      <w:r>
        <w:rPr>
          <w:rFonts w:hint="eastAsia"/>
          <w:color w:val="000000"/>
          <w:sz w:val="20"/>
          <w:szCs w:val="20"/>
        </w:rPr>
        <w:t>2</w:t>
      </w:r>
      <w:r>
        <w:rPr>
          <w:rFonts w:hint="eastAsia"/>
          <w:color w:val="000000"/>
          <w:sz w:val="20"/>
          <w:szCs w:val="20"/>
        </w:rPr>
        <w:t>学分）</w:t>
      </w:r>
    </w:p>
    <w:p w14:paraId="40D0C983" w14:textId="77777777" w:rsidR="00C74721" w:rsidRDefault="00FA2A90">
      <w:pPr>
        <w:adjustRightInd w:val="0"/>
        <w:snapToGrid w:val="0"/>
        <w:spacing w:line="288" w:lineRule="auto"/>
        <w:ind w:firstLineChars="196" w:firstLine="392"/>
        <w:rPr>
          <w:color w:val="000000"/>
          <w:sz w:val="20"/>
          <w:szCs w:val="20"/>
        </w:rPr>
      </w:pPr>
      <w:r>
        <w:rPr>
          <w:rFonts w:hint="eastAsia"/>
          <w:color w:val="000000"/>
          <w:sz w:val="20"/>
          <w:szCs w:val="20"/>
        </w:rPr>
        <w:t xml:space="preserve">           </w:t>
      </w:r>
      <w:r>
        <w:rPr>
          <w:rFonts w:hint="eastAsia"/>
          <w:color w:val="000000"/>
          <w:sz w:val="20"/>
          <w:szCs w:val="20"/>
        </w:rPr>
        <w:t>经济学（双语）</w:t>
      </w:r>
      <w:r>
        <w:rPr>
          <w:color w:val="000000"/>
          <w:sz w:val="20"/>
          <w:szCs w:val="20"/>
        </w:rPr>
        <w:t xml:space="preserve"> 2060533    </w:t>
      </w:r>
      <w:r>
        <w:rPr>
          <w:rFonts w:hint="eastAsia"/>
          <w:color w:val="000000"/>
          <w:sz w:val="20"/>
          <w:szCs w:val="20"/>
        </w:rPr>
        <w:t>（</w:t>
      </w:r>
      <w:r>
        <w:rPr>
          <w:color w:val="000000"/>
          <w:sz w:val="20"/>
          <w:szCs w:val="20"/>
        </w:rPr>
        <w:t xml:space="preserve"> 4</w:t>
      </w:r>
      <w:r>
        <w:rPr>
          <w:rFonts w:hint="eastAsia"/>
          <w:color w:val="000000"/>
          <w:sz w:val="20"/>
          <w:szCs w:val="20"/>
        </w:rPr>
        <w:t>学分）</w:t>
      </w:r>
    </w:p>
    <w:p w14:paraId="40D0C984" w14:textId="77777777" w:rsidR="00C74721" w:rsidRDefault="00FA2A90">
      <w:pPr>
        <w:adjustRightInd w:val="0"/>
        <w:snapToGrid w:val="0"/>
        <w:spacing w:line="288" w:lineRule="auto"/>
        <w:ind w:firstLineChars="196" w:firstLine="392"/>
        <w:rPr>
          <w:color w:val="000000"/>
          <w:sz w:val="20"/>
          <w:szCs w:val="20"/>
        </w:rPr>
      </w:pPr>
      <w:r>
        <w:rPr>
          <w:color w:val="000000"/>
          <w:sz w:val="20"/>
          <w:szCs w:val="20"/>
        </w:rPr>
        <w:t xml:space="preserve">           </w:t>
      </w:r>
      <w:r>
        <w:rPr>
          <w:rFonts w:hint="eastAsia"/>
          <w:color w:val="000000"/>
          <w:sz w:val="20"/>
          <w:szCs w:val="20"/>
        </w:rPr>
        <w:t>管理学（双语）</w:t>
      </w:r>
      <w:r>
        <w:rPr>
          <w:color w:val="000000"/>
          <w:sz w:val="20"/>
          <w:szCs w:val="20"/>
        </w:rPr>
        <w:t xml:space="preserve">   2120052        </w:t>
      </w:r>
      <w:r>
        <w:rPr>
          <w:rFonts w:hint="eastAsia"/>
          <w:color w:val="000000"/>
          <w:sz w:val="20"/>
          <w:szCs w:val="20"/>
        </w:rPr>
        <w:t>（</w:t>
      </w:r>
      <w:r>
        <w:rPr>
          <w:color w:val="000000"/>
          <w:sz w:val="20"/>
          <w:szCs w:val="20"/>
        </w:rPr>
        <w:t>3</w:t>
      </w:r>
      <w:r>
        <w:rPr>
          <w:rFonts w:hint="eastAsia"/>
          <w:color w:val="000000"/>
          <w:sz w:val="20"/>
          <w:szCs w:val="20"/>
        </w:rPr>
        <w:t>学分）</w:t>
      </w:r>
      <w:r>
        <w:rPr>
          <w:color w:val="000000"/>
          <w:sz w:val="20"/>
          <w:szCs w:val="20"/>
        </w:rPr>
        <w:t>】</w:t>
      </w:r>
    </w:p>
    <w:p w14:paraId="40D0C985" w14:textId="77777777" w:rsidR="00C74721" w:rsidRDefault="00C74721">
      <w:pPr>
        <w:adjustRightInd w:val="0"/>
        <w:snapToGrid w:val="0"/>
        <w:spacing w:line="288" w:lineRule="auto"/>
        <w:ind w:firstLineChars="196" w:firstLine="392"/>
        <w:rPr>
          <w:color w:val="000000"/>
          <w:sz w:val="20"/>
          <w:szCs w:val="20"/>
        </w:rPr>
      </w:pPr>
    </w:p>
    <w:p w14:paraId="40D0C986" w14:textId="77777777" w:rsidR="00C74721" w:rsidRDefault="00FA2A90" w:rsidP="00B832D7">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14:paraId="40D0C987" w14:textId="77777777" w:rsidR="00C74721" w:rsidRDefault="00FA2A90">
      <w:pPr>
        <w:snapToGrid w:val="0"/>
        <w:spacing w:line="288" w:lineRule="auto"/>
        <w:ind w:firstLineChars="200" w:firstLine="400"/>
        <w:rPr>
          <w:color w:val="000000"/>
          <w:sz w:val="20"/>
          <w:szCs w:val="20"/>
        </w:rPr>
      </w:pPr>
      <w:r>
        <w:rPr>
          <w:rFonts w:hint="eastAsia"/>
          <w:color w:val="000000"/>
          <w:sz w:val="20"/>
          <w:szCs w:val="20"/>
        </w:rPr>
        <w:t>跨国公司管理是面向全校的公共选修课。本课程的特点主要是：掌握跨国公司的基本概念、特征与类型、产生和发展的阶段，了解跨国公司基本理论，</w:t>
      </w:r>
      <w:r>
        <w:rPr>
          <w:rFonts w:hint="eastAsia"/>
          <w:color w:val="000000"/>
          <w:sz w:val="20"/>
          <w:szCs w:val="20"/>
        </w:rPr>
        <w:t xml:space="preserve"> </w:t>
      </w:r>
      <w:r>
        <w:rPr>
          <w:rFonts w:hint="eastAsia"/>
          <w:color w:val="000000"/>
          <w:sz w:val="20"/>
          <w:szCs w:val="20"/>
        </w:rPr>
        <w:t>熟悉跨国公司对外直接投资类型，熟悉跨国公司经营环境，掌握跨国公司的战略管理、组织管理、经营管理、人力资源管理和跨文化管理的基础知识。通过对跨国公司基础概念和基本理论的介绍，让学生了解跨国公司的经营管理基础知识，熟悉跨国公司的运作机理，掌握跨国公司的发展趋势，培养成为了解经济管理、掌握先进科学技术的复合型人才。</w:t>
      </w:r>
    </w:p>
    <w:p w14:paraId="40D0C988" w14:textId="77777777" w:rsidR="00C74721" w:rsidRDefault="00FA2A90">
      <w:pPr>
        <w:snapToGrid w:val="0"/>
        <w:spacing w:line="288" w:lineRule="auto"/>
        <w:ind w:firstLineChars="200" w:firstLine="400"/>
        <w:rPr>
          <w:color w:val="000000"/>
          <w:sz w:val="20"/>
          <w:szCs w:val="20"/>
        </w:rPr>
      </w:pPr>
      <w:r>
        <w:rPr>
          <w:rFonts w:hint="eastAsia"/>
          <w:color w:val="000000"/>
          <w:sz w:val="20"/>
          <w:szCs w:val="20"/>
        </w:rPr>
        <w:lastRenderedPageBreak/>
        <w:t>课程的教学要求：采取理论讲述与案例分析相结合的方法进行教学，培养和提高学生分析问题和解决问题的能力，使学生完成本课程的学习任务后，能够自觉地对实践中存在的问题进行反思并能提出解决方法。</w:t>
      </w:r>
    </w:p>
    <w:p w14:paraId="40D0C989" w14:textId="77777777" w:rsidR="00C74721" w:rsidRDefault="00C74721">
      <w:pPr>
        <w:snapToGrid w:val="0"/>
        <w:spacing w:line="288" w:lineRule="auto"/>
        <w:ind w:firstLineChars="200" w:firstLine="400"/>
        <w:rPr>
          <w:color w:val="000000"/>
          <w:sz w:val="20"/>
          <w:szCs w:val="20"/>
        </w:rPr>
      </w:pPr>
    </w:p>
    <w:p w14:paraId="40D0C98A" w14:textId="77777777" w:rsidR="00C74721" w:rsidRDefault="00FA2A90" w:rsidP="00B832D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14:paraId="40D0C98B" w14:textId="77777777" w:rsidR="00C74721" w:rsidRDefault="00FA2A90">
      <w:pPr>
        <w:snapToGrid w:val="0"/>
        <w:spacing w:line="288" w:lineRule="auto"/>
        <w:ind w:firstLineChars="200" w:firstLine="400"/>
        <w:rPr>
          <w:color w:val="000000"/>
          <w:sz w:val="20"/>
          <w:szCs w:val="20"/>
        </w:rPr>
      </w:pPr>
      <w:r>
        <w:rPr>
          <w:rFonts w:hint="eastAsia"/>
          <w:color w:val="000000"/>
          <w:sz w:val="20"/>
          <w:szCs w:val="20"/>
        </w:rPr>
        <w:t>此课程适合本科专业学生在大二第二学期或大三第一、二学期学习，一般应具备相应的经济学、管理学知识，和一定的分析问题、解决问题的能力。</w:t>
      </w:r>
    </w:p>
    <w:p w14:paraId="40D0C98C" w14:textId="77777777" w:rsidR="00C74721" w:rsidRDefault="00C74721">
      <w:pPr>
        <w:snapToGrid w:val="0"/>
        <w:spacing w:line="288" w:lineRule="auto"/>
        <w:ind w:firstLineChars="200" w:firstLine="400"/>
        <w:rPr>
          <w:color w:val="000000"/>
          <w:sz w:val="20"/>
          <w:szCs w:val="20"/>
        </w:rPr>
      </w:pPr>
    </w:p>
    <w:p w14:paraId="40D0C98D" w14:textId="77777777" w:rsidR="00C74721" w:rsidRDefault="00FA2A90" w:rsidP="00B832D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tbl>
      <w:tblPr>
        <w:tblStyle w:val="TableGrid"/>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C74721" w14:paraId="40D0C990" w14:textId="77777777">
        <w:tc>
          <w:tcPr>
            <w:tcW w:w="6803" w:type="dxa"/>
          </w:tcPr>
          <w:p w14:paraId="40D0C98E" w14:textId="77777777" w:rsidR="00C74721" w:rsidRDefault="00FA2A90">
            <w:pPr>
              <w:spacing w:after="0" w:line="240" w:lineRule="auto"/>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40D0C98F" w14:textId="77777777" w:rsidR="00C74721" w:rsidRDefault="00FA2A90">
            <w:pPr>
              <w:spacing w:after="0" w:line="240" w:lineRule="auto"/>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C74721" w14:paraId="40D0C994" w14:textId="77777777">
        <w:tc>
          <w:tcPr>
            <w:tcW w:w="6803" w:type="dxa"/>
            <w:vAlign w:val="center"/>
          </w:tcPr>
          <w:p w14:paraId="40D0C991"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LO11：</w:t>
            </w:r>
            <w:r>
              <w:rPr>
                <w:rFonts w:ascii="楷体_GB2312" w:eastAsia="楷体_GB2312" w:hAnsi="楷体_GB2312" w:hint="eastAsia"/>
                <w:sz w:val="24"/>
              </w:rPr>
              <w:t>表达沟通</w:t>
            </w:r>
          </w:p>
          <w:p w14:paraId="40D0C992" w14:textId="77777777" w:rsidR="00C74721" w:rsidRDefault="00FA2A90" w:rsidP="00B832D7">
            <w:pPr>
              <w:spacing w:after="0" w:line="240" w:lineRule="auto"/>
              <w:ind w:firstLineChars="177" w:firstLine="425"/>
              <w:rPr>
                <w:kern w:val="0"/>
                <w:sz w:val="20"/>
                <w:szCs w:val="20"/>
              </w:rPr>
            </w:pPr>
            <w:r>
              <w:rPr>
                <w:rFonts w:ascii="楷体_GB2312" w:eastAsia="楷体_GB2312" w:hAnsi="楷体_GB2312" w:hint="eastAsia"/>
                <w:sz w:val="24"/>
              </w:rPr>
              <w:t>理解他人的观点和设计要求，并能够清晰流畅的表达自己的设计构思和创意。能在不同场合用书面、口头或图稿形式进行有效的双向设计沟通。</w:t>
            </w:r>
          </w:p>
        </w:tc>
        <w:tc>
          <w:tcPr>
            <w:tcW w:w="727" w:type="dxa"/>
            <w:vAlign w:val="center"/>
          </w:tcPr>
          <w:p w14:paraId="40D0C993" w14:textId="77777777" w:rsidR="00C74721" w:rsidRDefault="00FA2A90">
            <w:pPr>
              <w:spacing w:after="0" w:line="240" w:lineRule="auto"/>
              <w:jc w:val="center"/>
              <w:rPr>
                <w:rFonts w:ascii="仿宋" w:eastAsia="仿宋" w:hAnsi="仿宋" w:cs="宋体"/>
                <w:color w:val="000000"/>
                <w:kern w:val="0"/>
                <w:sz w:val="24"/>
                <w:szCs w:val="20"/>
              </w:rPr>
            </w:pPr>
            <w:r>
              <w:rPr>
                <w:color w:val="000000"/>
                <w:kern w:val="0"/>
                <w:sz w:val="20"/>
                <w:szCs w:val="20"/>
              </w:rPr>
              <w:sym w:font="Wingdings 2" w:char="F098"/>
            </w:r>
          </w:p>
        </w:tc>
      </w:tr>
      <w:tr w:rsidR="00C74721" w14:paraId="40D0C998" w14:textId="77777777">
        <w:tc>
          <w:tcPr>
            <w:tcW w:w="6803" w:type="dxa"/>
            <w:vAlign w:val="center"/>
          </w:tcPr>
          <w:p w14:paraId="40D0C995"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LO21：</w:t>
            </w:r>
            <w:r>
              <w:rPr>
                <w:rFonts w:ascii="楷体_GB2312" w:eastAsia="楷体_GB2312" w:hAnsi="楷体_GB2312" w:hint="eastAsia"/>
                <w:sz w:val="24"/>
              </w:rPr>
              <w:t>自主学习</w:t>
            </w:r>
          </w:p>
          <w:p w14:paraId="40D0C996"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14:paraId="40D0C997"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9C" w14:textId="77777777">
        <w:tc>
          <w:tcPr>
            <w:tcW w:w="6803" w:type="dxa"/>
            <w:vAlign w:val="center"/>
          </w:tcPr>
          <w:p w14:paraId="40D0C999"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LO31：</w:t>
            </w:r>
            <w:r>
              <w:rPr>
                <w:rFonts w:ascii="楷体_GB2312" w:eastAsia="楷体_GB2312" w:hAnsi="楷体_GB2312" w:hint="eastAsia"/>
                <w:sz w:val="24"/>
              </w:rPr>
              <w:t>奢侈品市场营销</w:t>
            </w:r>
          </w:p>
          <w:p w14:paraId="40D0C99A"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熟悉珠宝和奢侈品行市场分析和品牌定位的方法，制定品牌营销的战略和策略；制定完整的营销执行计划，完成营销活动的组织和实施；熟悉品牌和市场定位方法，并基于市场竞争环境进行市场拓展；熟悉主要社交媒体操作，掌握网络营销方法和策略。</w:t>
            </w:r>
          </w:p>
        </w:tc>
        <w:tc>
          <w:tcPr>
            <w:tcW w:w="727" w:type="dxa"/>
            <w:vAlign w:val="center"/>
          </w:tcPr>
          <w:p w14:paraId="40D0C99B"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A0" w14:textId="77777777">
        <w:tc>
          <w:tcPr>
            <w:tcW w:w="6803" w:type="dxa"/>
            <w:vAlign w:val="center"/>
          </w:tcPr>
          <w:p w14:paraId="40D0C99D"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LO32：</w:t>
            </w:r>
            <w:r>
              <w:rPr>
                <w:rFonts w:ascii="楷体_GB2312" w:eastAsia="楷体_GB2312" w:hAnsi="楷体_GB2312" w:hint="eastAsia"/>
                <w:sz w:val="24"/>
              </w:rPr>
              <w:t>经济分析</w:t>
            </w:r>
          </w:p>
          <w:p w14:paraId="40D0C99E"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能够运用微观经济学的理论分析的部分经济与商业领域的现象；能有意识观察现实生活和社会中的经济现象，梳理合理的经济变量及各变量之间相互关系；能应用经济学理论，定性和定量分析实际经济问题，并预测经济发展趋势。</w:t>
            </w:r>
          </w:p>
        </w:tc>
        <w:tc>
          <w:tcPr>
            <w:tcW w:w="727" w:type="dxa"/>
            <w:vAlign w:val="center"/>
          </w:tcPr>
          <w:p w14:paraId="40D0C99F"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A4" w14:textId="77777777">
        <w:tc>
          <w:tcPr>
            <w:tcW w:w="6803" w:type="dxa"/>
            <w:vAlign w:val="center"/>
          </w:tcPr>
          <w:p w14:paraId="40D0C9A1"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LO33：</w:t>
            </w:r>
            <w:r>
              <w:rPr>
                <w:rFonts w:ascii="楷体_GB2312" w:eastAsia="楷体_GB2312" w:hAnsi="楷体_GB2312" w:hint="eastAsia"/>
                <w:sz w:val="24"/>
              </w:rPr>
              <w:t>奢侈品零售管理</w:t>
            </w:r>
          </w:p>
          <w:p w14:paraId="40D0C9A2"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熟悉珠宝和奢侈品店铺管理和客户关系管理；熟悉消费者行为分析和市场分析的方法，掌握销售的技能，能够与顾客良好的沟通，达成销售。</w:t>
            </w:r>
          </w:p>
        </w:tc>
        <w:tc>
          <w:tcPr>
            <w:tcW w:w="727" w:type="dxa"/>
            <w:vAlign w:val="center"/>
          </w:tcPr>
          <w:p w14:paraId="40D0C9A3"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A8" w14:textId="77777777">
        <w:tc>
          <w:tcPr>
            <w:tcW w:w="6803" w:type="dxa"/>
            <w:vAlign w:val="center"/>
          </w:tcPr>
          <w:p w14:paraId="40D0C9A5"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LO34：</w:t>
            </w:r>
            <w:r>
              <w:rPr>
                <w:rFonts w:ascii="楷体_GB2312" w:eastAsia="楷体_GB2312" w:hAnsi="楷体_GB2312" w:hint="eastAsia"/>
                <w:sz w:val="24"/>
              </w:rPr>
              <w:t>财务管理</w:t>
            </w:r>
          </w:p>
          <w:p w14:paraId="40D0C9A6"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清楚资金的筹集、投资、运营、分配；掌握财务计划与决策、财务预算与控制；具备一定的财务分析与考核等财务管理基本能力。</w:t>
            </w:r>
          </w:p>
        </w:tc>
        <w:tc>
          <w:tcPr>
            <w:tcW w:w="727" w:type="dxa"/>
            <w:vAlign w:val="center"/>
          </w:tcPr>
          <w:p w14:paraId="40D0C9A7" w14:textId="77777777" w:rsidR="00C74721" w:rsidRDefault="00FA2A90">
            <w:pPr>
              <w:widowControl/>
              <w:spacing w:after="0" w:line="240" w:lineRule="auto"/>
              <w:jc w:val="center"/>
              <w:rPr>
                <w:rFonts w:ascii="仿宋" w:eastAsia="仿宋" w:hAnsi="仿宋" w:cs="宋体"/>
                <w:color w:val="000000"/>
                <w:kern w:val="0"/>
                <w:sz w:val="24"/>
                <w:szCs w:val="20"/>
              </w:rPr>
            </w:pPr>
            <w:r>
              <w:rPr>
                <w:color w:val="000000"/>
                <w:kern w:val="0"/>
                <w:sz w:val="20"/>
                <w:szCs w:val="20"/>
              </w:rPr>
              <w:sym w:font="Wingdings 2" w:char="F098"/>
            </w:r>
          </w:p>
        </w:tc>
      </w:tr>
      <w:tr w:rsidR="00C74721" w14:paraId="40D0C9AC" w14:textId="77777777">
        <w:tc>
          <w:tcPr>
            <w:tcW w:w="6803" w:type="dxa"/>
            <w:vAlign w:val="center"/>
          </w:tcPr>
          <w:p w14:paraId="40D0C9A9"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LO35：</w:t>
            </w:r>
            <w:r>
              <w:rPr>
                <w:rFonts w:ascii="楷体_GB2312" w:eastAsia="楷体_GB2312" w:hAnsi="楷体_GB2312" w:hint="eastAsia"/>
                <w:sz w:val="24"/>
              </w:rPr>
              <w:t>项目管理</w:t>
            </w:r>
          </w:p>
          <w:p w14:paraId="40D0C9AA"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lastRenderedPageBreak/>
              <w:t>熟悉项目范围、项目时间、项目成本、项目质量、项目人员管理和业务策划；熟悉项目风险、项目采购。</w:t>
            </w:r>
          </w:p>
        </w:tc>
        <w:tc>
          <w:tcPr>
            <w:tcW w:w="727" w:type="dxa"/>
            <w:vAlign w:val="center"/>
          </w:tcPr>
          <w:p w14:paraId="40D0C9AB"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B0" w14:textId="77777777">
        <w:tc>
          <w:tcPr>
            <w:tcW w:w="6803" w:type="dxa"/>
            <w:vAlign w:val="center"/>
          </w:tcPr>
          <w:p w14:paraId="40D0C9AD"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LO36：</w:t>
            </w:r>
            <w:r>
              <w:rPr>
                <w:rFonts w:ascii="楷体_GB2312" w:eastAsia="楷体_GB2312" w:hAnsi="楷体_GB2312" w:hint="eastAsia"/>
                <w:sz w:val="24"/>
              </w:rPr>
              <w:t>调查预测能力</w:t>
            </w:r>
          </w:p>
          <w:p w14:paraId="40D0C9AE"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熟悉调查方案的策划，调查问卷的设计；掌握常用的资料分析与预测方法；熟悉调查报告的写作。</w:t>
            </w:r>
          </w:p>
        </w:tc>
        <w:tc>
          <w:tcPr>
            <w:tcW w:w="727" w:type="dxa"/>
            <w:vAlign w:val="center"/>
          </w:tcPr>
          <w:p w14:paraId="40D0C9AF"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B4" w14:textId="77777777">
        <w:tc>
          <w:tcPr>
            <w:tcW w:w="6803" w:type="dxa"/>
            <w:vAlign w:val="center"/>
          </w:tcPr>
          <w:p w14:paraId="40D0C9B1"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LO37：</w:t>
            </w:r>
            <w:r>
              <w:rPr>
                <w:rFonts w:ascii="楷体_GB2312" w:eastAsia="楷体_GB2312" w:hAnsi="楷体_GB2312" w:hint="eastAsia"/>
                <w:sz w:val="24"/>
              </w:rPr>
              <w:t>珠宝能力</w:t>
            </w:r>
          </w:p>
          <w:p w14:paraId="40D0C9B2"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掌握设计和审美的基本理论与基本知识；具备设计能力和审美素养；了解珠宝和奢侈品发展历史、基本的珠宝和奢侈品鉴赏和不同风格设计的特点，具备一定的珠宝首饰搭配能力。</w:t>
            </w:r>
          </w:p>
        </w:tc>
        <w:tc>
          <w:tcPr>
            <w:tcW w:w="727" w:type="dxa"/>
            <w:vAlign w:val="center"/>
          </w:tcPr>
          <w:p w14:paraId="40D0C9B3"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B8" w14:textId="77777777">
        <w:tc>
          <w:tcPr>
            <w:tcW w:w="6803" w:type="dxa"/>
            <w:vAlign w:val="center"/>
          </w:tcPr>
          <w:p w14:paraId="40D0C9B5"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LO41：</w:t>
            </w:r>
            <w:r>
              <w:rPr>
                <w:rFonts w:ascii="楷体_GB2312" w:eastAsia="楷体_GB2312" w:hAnsi="楷体_GB2312" w:hint="eastAsia"/>
                <w:sz w:val="24"/>
              </w:rPr>
              <w:t>尽责抗压</w:t>
            </w:r>
          </w:p>
          <w:p w14:paraId="40D0C9B6"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遵守纪律、守信守责；具有耐挫折、抗压力的能力，并能够顺利完成相应地工作学习任务。</w:t>
            </w:r>
          </w:p>
        </w:tc>
        <w:tc>
          <w:tcPr>
            <w:tcW w:w="727" w:type="dxa"/>
            <w:vAlign w:val="center"/>
          </w:tcPr>
          <w:p w14:paraId="40D0C9B7" w14:textId="77777777" w:rsidR="00C74721" w:rsidRDefault="00FA2A90">
            <w:pPr>
              <w:widowControl/>
              <w:spacing w:after="0" w:line="240" w:lineRule="auto"/>
              <w:jc w:val="center"/>
              <w:rPr>
                <w:rFonts w:ascii="仿宋" w:eastAsia="仿宋" w:hAnsi="仿宋" w:cs="宋体"/>
                <w:color w:val="000000"/>
                <w:kern w:val="0"/>
                <w:sz w:val="24"/>
                <w:szCs w:val="20"/>
              </w:rPr>
            </w:pPr>
            <w:r>
              <w:rPr>
                <w:color w:val="000000"/>
                <w:kern w:val="0"/>
                <w:sz w:val="20"/>
                <w:szCs w:val="20"/>
              </w:rPr>
              <w:sym w:font="Wingdings 2" w:char="F098"/>
            </w:r>
          </w:p>
        </w:tc>
      </w:tr>
      <w:tr w:rsidR="00C74721" w14:paraId="40D0C9BC" w14:textId="77777777">
        <w:tc>
          <w:tcPr>
            <w:tcW w:w="6803" w:type="dxa"/>
            <w:vAlign w:val="center"/>
          </w:tcPr>
          <w:p w14:paraId="40D0C9B9"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LO51：</w:t>
            </w:r>
            <w:r>
              <w:rPr>
                <w:rFonts w:ascii="楷体_GB2312" w:eastAsia="楷体_GB2312" w:hAnsi="楷体_GB2312" w:hint="eastAsia"/>
                <w:sz w:val="24"/>
              </w:rPr>
              <w:t>协同创新</w:t>
            </w:r>
          </w:p>
          <w:p w14:paraId="40D0C9BA"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14:paraId="40D0C9BB"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C0" w14:textId="77777777">
        <w:trPr>
          <w:trHeight w:val="363"/>
        </w:trPr>
        <w:tc>
          <w:tcPr>
            <w:tcW w:w="6803" w:type="dxa"/>
            <w:vAlign w:val="center"/>
          </w:tcPr>
          <w:p w14:paraId="40D0C9BD"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LO61：</w:t>
            </w:r>
            <w:r>
              <w:rPr>
                <w:rFonts w:ascii="楷体_GB2312" w:eastAsia="楷体_GB2312" w:hAnsi="楷体_GB2312" w:hint="eastAsia"/>
                <w:sz w:val="24"/>
              </w:rPr>
              <w:t>信息应用</w:t>
            </w:r>
          </w:p>
          <w:p w14:paraId="40D0C9BE"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具备信息素养和运用科技信息技术的能力，并能熟练操作各项办公软件和图像、图形处理软件。</w:t>
            </w:r>
          </w:p>
        </w:tc>
        <w:tc>
          <w:tcPr>
            <w:tcW w:w="727" w:type="dxa"/>
            <w:vAlign w:val="center"/>
          </w:tcPr>
          <w:p w14:paraId="40D0C9BF" w14:textId="77777777" w:rsidR="00C74721" w:rsidRDefault="00C74721">
            <w:pPr>
              <w:widowControl/>
              <w:spacing w:after="0" w:line="240" w:lineRule="auto"/>
              <w:jc w:val="center"/>
              <w:rPr>
                <w:rFonts w:ascii="仿宋" w:eastAsia="仿宋" w:hAnsi="仿宋" w:cs="宋体"/>
                <w:color w:val="000000"/>
                <w:kern w:val="0"/>
                <w:sz w:val="24"/>
                <w:szCs w:val="20"/>
              </w:rPr>
            </w:pPr>
          </w:p>
        </w:tc>
      </w:tr>
      <w:tr w:rsidR="00C74721" w14:paraId="40D0C9C4" w14:textId="77777777">
        <w:tc>
          <w:tcPr>
            <w:tcW w:w="6803" w:type="dxa"/>
            <w:vAlign w:val="center"/>
          </w:tcPr>
          <w:p w14:paraId="40D0C9C1"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LO71：</w:t>
            </w:r>
            <w:r>
              <w:rPr>
                <w:rFonts w:ascii="楷体_GB2312" w:eastAsia="楷体_GB2312" w:hAnsi="楷体_GB2312" w:hint="eastAsia"/>
                <w:sz w:val="24"/>
              </w:rPr>
              <w:t>服务关爱</w:t>
            </w:r>
          </w:p>
          <w:p w14:paraId="40D0C9C2"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愿意服务他人、服务企业、服务社会；为人热忱，富于爱心，懂得感恩，甘于奉献。</w:t>
            </w:r>
          </w:p>
        </w:tc>
        <w:tc>
          <w:tcPr>
            <w:tcW w:w="727" w:type="dxa"/>
            <w:vAlign w:val="center"/>
          </w:tcPr>
          <w:p w14:paraId="40D0C9C3" w14:textId="77777777" w:rsidR="00C74721" w:rsidRDefault="00FA2A90">
            <w:pPr>
              <w:widowControl/>
              <w:spacing w:after="0" w:line="240" w:lineRule="auto"/>
              <w:jc w:val="center"/>
              <w:rPr>
                <w:rFonts w:ascii="仿宋" w:eastAsia="仿宋" w:hAnsi="仿宋" w:cs="宋体"/>
                <w:color w:val="000000"/>
                <w:kern w:val="0"/>
                <w:sz w:val="24"/>
                <w:szCs w:val="20"/>
              </w:rPr>
            </w:pPr>
            <w:r>
              <w:rPr>
                <w:color w:val="000000"/>
                <w:kern w:val="0"/>
                <w:sz w:val="20"/>
                <w:szCs w:val="20"/>
              </w:rPr>
              <w:sym w:font="Wingdings 2" w:char="F098"/>
            </w:r>
          </w:p>
        </w:tc>
      </w:tr>
      <w:tr w:rsidR="00C74721" w14:paraId="40D0C9C8" w14:textId="77777777">
        <w:tc>
          <w:tcPr>
            <w:tcW w:w="6803" w:type="dxa"/>
            <w:vAlign w:val="center"/>
          </w:tcPr>
          <w:p w14:paraId="40D0C9C5" w14:textId="77777777" w:rsidR="00C74721" w:rsidRDefault="00FA2A90" w:rsidP="00B832D7">
            <w:pPr>
              <w:spacing w:after="0" w:line="240" w:lineRule="auto"/>
              <w:ind w:firstLineChars="177" w:firstLine="425"/>
              <w:rPr>
                <w:rFonts w:ascii="楷体_GB2312" w:eastAsia="楷体_GB2312" w:hAnsi="楷体_GB2312"/>
                <w:sz w:val="24"/>
              </w:rPr>
            </w:pPr>
            <w:r>
              <w:rPr>
                <w:rFonts w:ascii="仿宋" w:eastAsia="仿宋" w:hAnsi="仿宋" w:cs="宋体" w:hint="eastAsia"/>
                <w:color w:val="000000"/>
                <w:kern w:val="0"/>
                <w:sz w:val="24"/>
              </w:rPr>
              <w:t>LO81：</w:t>
            </w:r>
            <w:r>
              <w:rPr>
                <w:rFonts w:ascii="楷体_GB2312" w:eastAsia="楷体_GB2312" w:hAnsi="楷体_GB2312" w:hint="eastAsia"/>
                <w:sz w:val="24"/>
              </w:rPr>
              <w:t>国际视野</w:t>
            </w:r>
          </w:p>
          <w:p w14:paraId="40D0C9C6" w14:textId="77777777" w:rsidR="00C74721" w:rsidRDefault="00FA2A90" w:rsidP="00B832D7">
            <w:pPr>
              <w:spacing w:after="0" w:line="240" w:lineRule="auto"/>
              <w:ind w:firstLineChars="177" w:firstLine="425"/>
              <w:rPr>
                <w:rFonts w:ascii="楷体_GB2312" w:eastAsia="楷体_GB2312" w:hAnsi="楷体_GB2312"/>
                <w:sz w:val="24"/>
              </w:rPr>
            </w:pPr>
            <w:r>
              <w:rPr>
                <w:rFonts w:ascii="楷体_GB2312" w:eastAsia="楷体_GB2312" w:hAnsi="楷体_GB2312" w:hint="eastAsia"/>
                <w:sz w:val="24"/>
              </w:rPr>
              <w:t>具有外语能力，能够阅读外文专业图书和资料，同时对专业范围中跨文化的设计具有理解能力，有国际竞争与合作的意识。</w:t>
            </w:r>
          </w:p>
        </w:tc>
        <w:tc>
          <w:tcPr>
            <w:tcW w:w="727" w:type="dxa"/>
            <w:vAlign w:val="center"/>
          </w:tcPr>
          <w:p w14:paraId="40D0C9C7" w14:textId="77777777" w:rsidR="00C74721" w:rsidRDefault="00C74721">
            <w:pPr>
              <w:widowControl/>
              <w:spacing w:after="0" w:line="240" w:lineRule="auto"/>
              <w:jc w:val="center"/>
              <w:rPr>
                <w:rFonts w:ascii="仿宋" w:eastAsia="仿宋" w:hAnsi="仿宋" w:cs="宋体"/>
                <w:color w:val="000000"/>
                <w:kern w:val="0"/>
                <w:sz w:val="24"/>
                <w:szCs w:val="20"/>
              </w:rPr>
            </w:pPr>
          </w:p>
        </w:tc>
      </w:tr>
    </w:tbl>
    <w:p w14:paraId="40D0C9C9" w14:textId="77777777" w:rsidR="00C74721" w:rsidRDefault="00FA2A90">
      <w:pPr>
        <w:ind w:firstLineChars="200" w:firstLine="420"/>
      </w:pPr>
      <w:r>
        <w:rPr>
          <w:rFonts w:hint="eastAsia"/>
        </w:rPr>
        <w:t>备注：</w:t>
      </w:r>
      <w:r>
        <w:rPr>
          <w:rFonts w:hint="eastAsia"/>
        </w:rPr>
        <w:t>LO=</w:t>
      </w:r>
      <w:r>
        <w:t>learning outcomes</w:t>
      </w:r>
      <w:r>
        <w:rPr>
          <w:rFonts w:hint="eastAsia"/>
        </w:rPr>
        <w:t>（学习成果）</w:t>
      </w:r>
    </w:p>
    <w:p w14:paraId="40D0C9CA" w14:textId="77777777" w:rsidR="00C74721" w:rsidRDefault="00C74721"/>
    <w:p w14:paraId="40D0C9CB" w14:textId="77777777" w:rsidR="00C74721" w:rsidRDefault="00FA2A90" w:rsidP="00B832D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五、课程目标/课程预期学习成果（必填项）（预期学习成果要可测量/能够证明）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C74721" w14:paraId="40D0C9D3" w14:textId="77777777">
        <w:tc>
          <w:tcPr>
            <w:tcW w:w="535" w:type="dxa"/>
            <w:shd w:val="clear" w:color="auto" w:fill="auto"/>
          </w:tcPr>
          <w:p w14:paraId="40D0C9CC" w14:textId="77777777" w:rsidR="00C74721" w:rsidRDefault="00FA2A90">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40D0C9CD" w14:textId="77777777" w:rsidR="00C74721" w:rsidRDefault="00FA2A90">
            <w:pPr>
              <w:snapToGrid w:val="0"/>
              <w:spacing w:line="288" w:lineRule="auto"/>
              <w:jc w:val="center"/>
              <w:rPr>
                <w:b/>
                <w:color w:val="000000"/>
                <w:sz w:val="20"/>
                <w:szCs w:val="20"/>
              </w:rPr>
            </w:pPr>
            <w:r>
              <w:rPr>
                <w:rFonts w:hint="eastAsia"/>
                <w:b/>
                <w:color w:val="000000"/>
                <w:sz w:val="20"/>
                <w:szCs w:val="20"/>
              </w:rPr>
              <w:t>课程预期</w:t>
            </w:r>
          </w:p>
          <w:p w14:paraId="40D0C9CE" w14:textId="77777777" w:rsidR="00C74721" w:rsidRDefault="00FA2A90">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40D0C9CF" w14:textId="77777777" w:rsidR="00C74721" w:rsidRDefault="00FA2A90">
            <w:pPr>
              <w:snapToGrid w:val="0"/>
              <w:spacing w:line="288" w:lineRule="auto"/>
              <w:jc w:val="center"/>
              <w:rPr>
                <w:b/>
                <w:color w:val="000000"/>
                <w:sz w:val="20"/>
                <w:szCs w:val="20"/>
                <w:highlight w:val="yellow"/>
              </w:rPr>
            </w:pPr>
            <w:r>
              <w:rPr>
                <w:rFonts w:hint="eastAsia"/>
                <w:b/>
                <w:color w:val="000000"/>
                <w:sz w:val="20"/>
                <w:szCs w:val="20"/>
              </w:rPr>
              <w:t>课程目标</w:t>
            </w:r>
          </w:p>
          <w:p w14:paraId="40D0C9D0" w14:textId="77777777" w:rsidR="00C74721" w:rsidRDefault="00FA2A90">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14:paraId="40D0C9D1" w14:textId="77777777" w:rsidR="00C74721" w:rsidRDefault="00FA2A90">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40D0C9D2" w14:textId="77777777" w:rsidR="00C74721" w:rsidRDefault="00FA2A90">
            <w:pPr>
              <w:snapToGrid w:val="0"/>
              <w:spacing w:line="288" w:lineRule="auto"/>
              <w:jc w:val="center"/>
              <w:rPr>
                <w:b/>
                <w:color w:val="000000"/>
                <w:sz w:val="20"/>
                <w:szCs w:val="20"/>
              </w:rPr>
            </w:pPr>
            <w:r>
              <w:rPr>
                <w:rFonts w:hint="eastAsia"/>
                <w:b/>
                <w:color w:val="000000"/>
                <w:sz w:val="20"/>
                <w:szCs w:val="20"/>
              </w:rPr>
              <w:t>评价方式</w:t>
            </w:r>
          </w:p>
        </w:tc>
      </w:tr>
      <w:tr w:rsidR="00C74721" w14:paraId="40D0C9E5" w14:textId="77777777">
        <w:tc>
          <w:tcPr>
            <w:tcW w:w="535" w:type="dxa"/>
            <w:shd w:val="clear" w:color="auto" w:fill="auto"/>
          </w:tcPr>
          <w:p w14:paraId="40D0C9D4" w14:textId="77777777" w:rsidR="00C74721" w:rsidRDefault="00FA2A90">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40D0C9D5" w14:textId="77777777" w:rsidR="00C74721" w:rsidRDefault="00FA2A90">
            <w:pPr>
              <w:rPr>
                <w:rFonts w:ascii="仿宋" w:eastAsia="仿宋" w:hAnsi="仿宋" w:cs="宋体"/>
                <w:kern w:val="0"/>
                <w:sz w:val="24"/>
              </w:rPr>
            </w:pPr>
            <w:r>
              <w:rPr>
                <w:rFonts w:ascii="仿宋" w:eastAsia="仿宋" w:hAnsi="仿宋" w:cs="宋体" w:hint="eastAsia"/>
                <w:kern w:val="0"/>
                <w:sz w:val="24"/>
                <w:szCs w:val="24"/>
              </w:rPr>
              <w:t>LO112</w:t>
            </w:r>
          </w:p>
        </w:tc>
        <w:tc>
          <w:tcPr>
            <w:tcW w:w="2470" w:type="dxa"/>
            <w:shd w:val="clear" w:color="auto" w:fill="auto"/>
          </w:tcPr>
          <w:p w14:paraId="40D0C9D6" w14:textId="77777777" w:rsidR="00C74721" w:rsidRDefault="00B832D7" w:rsidP="00B832D7">
            <w:pPr>
              <w:rPr>
                <w:rFonts w:ascii="仿宋" w:hAnsi="仿宋" w:cs="宋体"/>
                <w:kern w:val="0"/>
                <w:sz w:val="24"/>
              </w:rPr>
            </w:pPr>
            <w:r w:rsidRPr="00B832D7">
              <w:rPr>
                <w:rFonts w:hint="eastAsia"/>
                <w:sz w:val="20"/>
                <w:szCs w:val="20"/>
              </w:rPr>
              <w:t>应用书面或口头形式，阐释自己的观点，有效沟通。</w:t>
            </w:r>
          </w:p>
        </w:tc>
        <w:tc>
          <w:tcPr>
            <w:tcW w:w="2199" w:type="dxa"/>
            <w:vMerge w:val="restart"/>
            <w:shd w:val="clear" w:color="auto" w:fill="auto"/>
          </w:tcPr>
          <w:p w14:paraId="40D0C9D7"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课堂讲授</w:t>
            </w:r>
          </w:p>
          <w:p w14:paraId="40D0C9D8"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案例分析</w:t>
            </w:r>
          </w:p>
          <w:p w14:paraId="40D0C9D9"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小组讨论</w:t>
            </w:r>
          </w:p>
          <w:p w14:paraId="40D0C9DA"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课后作业</w:t>
            </w:r>
          </w:p>
          <w:p w14:paraId="40D0C9DB" w14:textId="77777777" w:rsidR="00C74721" w:rsidRDefault="00C74721">
            <w:pPr>
              <w:snapToGrid w:val="0"/>
              <w:spacing w:line="288" w:lineRule="auto"/>
              <w:jc w:val="center"/>
              <w:rPr>
                <w:rFonts w:ascii="黑体" w:eastAsia="黑体" w:hAnsi="宋体"/>
                <w:sz w:val="24"/>
              </w:rPr>
            </w:pPr>
          </w:p>
        </w:tc>
        <w:tc>
          <w:tcPr>
            <w:tcW w:w="1276" w:type="dxa"/>
            <w:vMerge w:val="restart"/>
            <w:shd w:val="clear" w:color="auto" w:fill="auto"/>
          </w:tcPr>
          <w:p w14:paraId="40D0C9DC"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案列分析</w:t>
            </w:r>
          </w:p>
          <w:p w14:paraId="40D0C9DD" w14:textId="77777777" w:rsidR="00C74721" w:rsidRDefault="00C74721">
            <w:pPr>
              <w:spacing w:after="0" w:line="240" w:lineRule="auto"/>
              <w:jc w:val="center"/>
              <w:rPr>
                <w:rFonts w:ascii="楷体_GB2312" w:eastAsia="楷体_GB2312" w:hAnsi="楷体_GB2312"/>
                <w:sz w:val="24"/>
              </w:rPr>
            </w:pPr>
          </w:p>
          <w:p w14:paraId="40D0C9DE"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项目策划</w:t>
            </w:r>
          </w:p>
          <w:p w14:paraId="40D0C9DF" w14:textId="77777777" w:rsidR="00C74721" w:rsidRDefault="00C74721">
            <w:pPr>
              <w:spacing w:after="0" w:line="240" w:lineRule="auto"/>
              <w:jc w:val="center"/>
              <w:rPr>
                <w:rFonts w:ascii="楷体_GB2312" w:eastAsia="楷体_GB2312" w:hAnsi="楷体_GB2312"/>
                <w:sz w:val="24"/>
              </w:rPr>
            </w:pPr>
          </w:p>
          <w:p w14:paraId="40D0C9E0"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课题作品</w:t>
            </w:r>
          </w:p>
          <w:p w14:paraId="40D0C9E1" w14:textId="77777777" w:rsidR="00C74721" w:rsidRDefault="00C74721">
            <w:pPr>
              <w:spacing w:after="0" w:line="240" w:lineRule="auto"/>
              <w:jc w:val="center"/>
              <w:rPr>
                <w:rFonts w:ascii="楷体_GB2312" w:eastAsia="楷体_GB2312" w:hAnsi="楷体_GB2312"/>
                <w:sz w:val="24"/>
              </w:rPr>
            </w:pPr>
          </w:p>
          <w:p w14:paraId="40D0C9E2"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社会实践</w:t>
            </w:r>
          </w:p>
          <w:p w14:paraId="40D0C9E3" w14:textId="77777777" w:rsidR="00C74721" w:rsidRDefault="00C74721">
            <w:pPr>
              <w:spacing w:after="0" w:line="240" w:lineRule="auto"/>
              <w:jc w:val="center"/>
              <w:rPr>
                <w:rFonts w:ascii="楷体_GB2312" w:eastAsia="楷体_GB2312" w:hAnsi="楷体_GB2312"/>
                <w:sz w:val="24"/>
              </w:rPr>
            </w:pPr>
          </w:p>
          <w:p w14:paraId="40D0C9E4" w14:textId="77777777" w:rsidR="00C74721" w:rsidRDefault="00FA2A90">
            <w:pPr>
              <w:snapToGrid w:val="0"/>
              <w:spacing w:line="288" w:lineRule="auto"/>
              <w:jc w:val="center"/>
              <w:rPr>
                <w:rFonts w:ascii="黑体" w:eastAsia="黑体" w:hAnsi="宋体"/>
                <w:sz w:val="24"/>
              </w:rPr>
            </w:pPr>
            <w:r>
              <w:rPr>
                <w:rFonts w:ascii="楷体_GB2312" w:eastAsia="楷体_GB2312" w:hAnsi="楷体_GB2312" w:hint="eastAsia"/>
                <w:sz w:val="24"/>
              </w:rPr>
              <w:t>题目练习</w:t>
            </w:r>
          </w:p>
        </w:tc>
      </w:tr>
      <w:tr w:rsidR="00C74721" w14:paraId="40D0C9EB" w14:textId="77777777">
        <w:tc>
          <w:tcPr>
            <w:tcW w:w="535" w:type="dxa"/>
            <w:shd w:val="clear" w:color="auto" w:fill="auto"/>
          </w:tcPr>
          <w:p w14:paraId="40D0C9E6" w14:textId="77777777" w:rsidR="00C74721" w:rsidRDefault="00FA2A90">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shd w:val="clear" w:color="auto" w:fill="auto"/>
            <w:vAlign w:val="center"/>
          </w:tcPr>
          <w:p w14:paraId="40D0C9E7" w14:textId="77777777" w:rsidR="00C74721" w:rsidRDefault="00FA2A90">
            <w:pPr>
              <w:rPr>
                <w:rFonts w:ascii="仿宋" w:eastAsia="仿宋" w:hAnsi="仿宋" w:cs="宋体"/>
                <w:kern w:val="0"/>
                <w:sz w:val="24"/>
                <w:szCs w:val="24"/>
              </w:rPr>
            </w:pPr>
            <w:r>
              <w:rPr>
                <w:rFonts w:ascii="仿宋" w:eastAsia="仿宋" w:hAnsi="仿宋" w:cs="宋体"/>
                <w:kern w:val="0"/>
                <w:sz w:val="24"/>
                <w:szCs w:val="24"/>
              </w:rPr>
              <w:t>LO3</w:t>
            </w:r>
            <w:r>
              <w:rPr>
                <w:rFonts w:ascii="仿宋" w:eastAsia="仿宋" w:hAnsi="仿宋" w:cs="宋体" w:hint="eastAsia"/>
                <w:kern w:val="0"/>
                <w:sz w:val="24"/>
                <w:szCs w:val="24"/>
              </w:rPr>
              <w:t>4</w:t>
            </w:r>
            <w:r>
              <w:rPr>
                <w:rFonts w:ascii="仿宋" w:eastAsia="仿宋" w:hAnsi="仿宋" w:cs="宋体"/>
                <w:kern w:val="0"/>
                <w:sz w:val="24"/>
                <w:szCs w:val="24"/>
              </w:rPr>
              <w:t>1</w:t>
            </w:r>
          </w:p>
        </w:tc>
        <w:tc>
          <w:tcPr>
            <w:tcW w:w="2470" w:type="dxa"/>
            <w:shd w:val="clear" w:color="auto" w:fill="auto"/>
          </w:tcPr>
          <w:p w14:paraId="40D0C9E8" w14:textId="77777777" w:rsidR="00C74721" w:rsidRDefault="00B832D7">
            <w:pPr>
              <w:rPr>
                <w:sz w:val="20"/>
                <w:szCs w:val="20"/>
              </w:rPr>
            </w:pPr>
            <w:r w:rsidRPr="00B832D7">
              <w:rPr>
                <w:rFonts w:hint="eastAsia"/>
                <w:sz w:val="20"/>
                <w:szCs w:val="20"/>
              </w:rPr>
              <w:t>清楚资金的筹集、投资、运营、分配</w:t>
            </w:r>
            <w:r>
              <w:rPr>
                <w:rFonts w:hint="eastAsia"/>
                <w:sz w:val="20"/>
                <w:szCs w:val="20"/>
              </w:rPr>
              <w:t>。</w:t>
            </w:r>
            <w:r w:rsidR="00FA2A90">
              <w:rPr>
                <w:rFonts w:hint="eastAsia"/>
                <w:sz w:val="20"/>
                <w:szCs w:val="20"/>
              </w:rPr>
              <w:t>能够运用跨国管理学的理论，分析部分经济与商业领域的现</w:t>
            </w:r>
            <w:r w:rsidR="00FA2A90">
              <w:rPr>
                <w:rFonts w:hint="eastAsia"/>
                <w:sz w:val="20"/>
                <w:szCs w:val="20"/>
              </w:rPr>
              <w:lastRenderedPageBreak/>
              <w:t>象。</w:t>
            </w:r>
          </w:p>
        </w:tc>
        <w:tc>
          <w:tcPr>
            <w:tcW w:w="2199" w:type="dxa"/>
            <w:vMerge/>
            <w:shd w:val="clear" w:color="auto" w:fill="auto"/>
          </w:tcPr>
          <w:p w14:paraId="40D0C9E9" w14:textId="77777777" w:rsidR="00C74721" w:rsidRDefault="00C74721">
            <w:pPr>
              <w:snapToGrid w:val="0"/>
              <w:spacing w:line="288" w:lineRule="auto"/>
              <w:jc w:val="center"/>
              <w:rPr>
                <w:rFonts w:ascii="黑体" w:eastAsia="黑体" w:hAnsi="宋体"/>
                <w:sz w:val="24"/>
              </w:rPr>
            </w:pPr>
          </w:p>
        </w:tc>
        <w:tc>
          <w:tcPr>
            <w:tcW w:w="1276" w:type="dxa"/>
            <w:vMerge/>
            <w:shd w:val="clear" w:color="auto" w:fill="auto"/>
          </w:tcPr>
          <w:p w14:paraId="40D0C9EA" w14:textId="77777777" w:rsidR="00C74721" w:rsidRDefault="00C74721">
            <w:pPr>
              <w:snapToGrid w:val="0"/>
              <w:spacing w:line="288" w:lineRule="auto"/>
              <w:jc w:val="center"/>
              <w:rPr>
                <w:rFonts w:ascii="黑体" w:eastAsia="黑体" w:hAnsi="宋体"/>
                <w:sz w:val="24"/>
              </w:rPr>
            </w:pPr>
          </w:p>
        </w:tc>
      </w:tr>
      <w:tr w:rsidR="00C74721" w14:paraId="40D0C9F6" w14:textId="77777777">
        <w:tc>
          <w:tcPr>
            <w:tcW w:w="535" w:type="dxa"/>
            <w:shd w:val="clear" w:color="auto" w:fill="auto"/>
          </w:tcPr>
          <w:p w14:paraId="40D0C9EC" w14:textId="77777777" w:rsidR="00C74721" w:rsidRDefault="00FA2A90">
            <w:pP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1175" w:type="dxa"/>
            <w:shd w:val="clear" w:color="auto" w:fill="auto"/>
            <w:vAlign w:val="center"/>
          </w:tcPr>
          <w:p w14:paraId="40D0C9ED" w14:textId="77777777" w:rsidR="00C74721" w:rsidRDefault="00FA2A90">
            <w:pPr>
              <w:rPr>
                <w:rFonts w:ascii="仿宋" w:eastAsia="仿宋" w:hAnsi="仿宋" w:cs="宋体"/>
                <w:kern w:val="0"/>
                <w:sz w:val="24"/>
                <w:szCs w:val="24"/>
              </w:rPr>
            </w:pPr>
            <w:r>
              <w:rPr>
                <w:rFonts w:ascii="仿宋" w:eastAsia="仿宋" w:hAnsi="仿宋" w:cs="宋体"/>
                <w:kern w:val="0"/>
                <w:sz w:val="24"/>
                <w:szCs w:val="24"/>
              </w:rPr>
              <w:t>LO41</w:t>
            </w:r>
            <w:r>
              <w:rPr>
                <w:rFonts w:ascii="仿宋" w:eastAsia="仿宋" w:hAnsi="仿宋" w:cs="宋体" w:hint="eastAsia"/>
                <w:kern w:val="0"/>
                <w:sz w:val="24"/>
                <w:szCs w:val="24"/>
              </w:rPr>
              <w:t>1</w:t>
            </w:r>
          </w:p>
        </w:tc>
        <w:tc>
          <w:tcPr>
            <w:tcW w:w="2470" w:type="dxa"/>
            <w:shd w:val="clear" w:color="auto" w:fill="auto"/>
          </w:tcPr>
          <w:p w14:paraId="40D0C9EE" w14:textId="77777777" w:rsidR="00C74721" w:rsidRDefault="00B832D7">
            <w:pPr>
              <w:rPr>
                <w:sz w:val="20"/>
                <w:szCs w:val="20"/>
              </w:rPr>
            </w:pPr>
            <w:r w:rsidRPr="00B832D7">
              <w:rPr>
                <w:rFonts w:hint="eastAsia"/>
                <w:sz w:val="20"/>
                <w:szCs w:val="20"/>
              </w:rPr>
              <w:t>遵纪守法：遵守校纪校规，具备法律意识。</w:t>
            </w:r>
          </w:p>
        </w:tc>
        <w:tc>
          <w:tcPr>
            <w:tcW w:w="2199" w:type="dxa"/>
            <w:vMerge w:val="restart"/>
            <w:shd w:val="clear" w:color="auto" w:fill="auto"/>
          </w:tcPr>
          <w:p w14:paraId="40D0C9EF"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课堂讲授</w:t>
            </w:r>
          </w:p>
          <w:p w14:paraId="40D0C9F0"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案例分析</w:t>
            </w:r>
          </w:p>
          <w:p w14:paraId="40D0C9F1"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小组讨论</w:t>
            </w:r>
          </w:p>
          <w:p w14:paraId="40D0C9F2" w14:textId="77777777" w:rsidR="00C74721" w:rsidRDefault="00FA2A90">
            <w:pPr>
              <w:spacing w:after="0" w:line="240" w:lineRule="auto"/>
              <w:jc w:val="center"/>
              <w:rPr>
                <w:rFonts w:ascii="楷体_GB2312" w:eastAsia="楷体_GB2312" w:hAnsi="楷体_GB2312"/>
                <w:sz w:val="24"/>
              </w:rPr>
            </w:pPr>
            <w:r>
              <w:rPr>
                <w:rFonts w:ascii="楷体_GB2312" w:eastAsia="楷体_GB2312" w:hAnsi="楷体_GB2312" w:hint="eastAsia"/>
                <w:sz w:val="24"/>
              </w:rPr>
              <w:t>课后作业</w:t>
            </w:r>
          </w:p>
          <w:p w14:paraId="40D0C9F3" w14:textId="77777777" w:rsidR="00C74721" w:rsidRDefault="00C74721">
            <w:pPr>
              <w:spacing w:after="0" w:line="240" w:lineRule="auto"/>
              <w:jc w:val="center"/>
              <w:rPr>
                <w:rFonts w:ascii="楷体_GB2312" w:eastAsia="楷体_GB2312" w:hAnsi="楷体_GB2312"/>
                <w:sz w:val="24"/>
              </w:rPr>
            </w:pPr>
          </w:p>
          <w:p w14:paraId="40D0C9F4" w14:textId="77777777" w:rsidR="00C74721" w:rsidRDefault="00C74721">
            <w:pPr>
              <w:snapToGrid w:val="0"/>
              <w:spacing w:line="288" w:lineRule="auto"/>
              <w:jc w:val="center"/>
              <w:rPr>
                <w:rFonts w:ascii="黑体" w:eastAsia="黑体" w:hAnsi="宋体"/>
                <w:sz w:val="24"/>
              </w:rPr>
            </w:pPr>
          </w:p>
        </w:tc>
        <w:tc>
          <w:tcPr>
            <w:tcW w:w="1276" w:type="dxa"/>
            <w:vMerge/>
            <w:shd w:val="clear" w:color="auto" w:fill="auto"/>
          </w:tcPr>
          <w:p w14:paraId="40D0C9F5" w14:textId="77777777" w:rsidR="00C74721" w:rsidRDefault="00C74721">
            <w:pPr>
              <w:snapToGrid w:val="0"/>
              <w:spacing w:line="288" w:lineRule="auto"/>
              <w:jc w:val="center"/>
              <w:rPr>
                <w:rFonts w:ascii="黑体" w:eastAsia="黑体" w:hAnsi="宋体"/>
                <w:sz w:val="24"/>
              </w:rPr>
            </w:pPr>
          </w:p>
        </w:tc>
      </w:tr>
      <w:tr w:rsidR="00C74721" w14:paraId="40D0C9FC" w14:textId="77777777">
        <w:tc>
          <w:tcPr>
            <w:tcW w:w="535" w:type="dxa"/>
            <w:shd w:val="clear" w:color="auto" w:fill="auto"/>
          </w:tcPr>
          <w:p w14:paraId="40D0C9F7" w14:textId="77777777" w:rsidR="00C74721" w:rsidRDefault="00FA2A90">
            <w:pP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175" w:type="dxa"/>
            <w:shd w:val="clear" w:color="auto" w:fill="auto"/>
            <w:vAlign w:val="center"/>
          </w:tcPr>
          <w:p w14:paraId="40D0C9F8" w14:textId="77777777" w:rsidR="00C74721" w:rsidRDefault="00FA2A90">
            <w:pPr>
              <w:rPr>
                <w:rFonts w:ascii="仿宋" w:eastAsia="仿宋" w:hAnsi="仿宋" w:cs="宋体"/>
                <w:kern w:val="0"/>
                <w:sz w:val="24"/>
                <w:szCs w:val="24"/>
              </w:rPr>
            </w:pPr>
            <w:r>
              <w:rPr>
                <w:rFonts w:ascii="仿宋" w:eastAsia="仿宋" w:hAnsi="仿宋" w:cs="宋体"/>
                <w:kern w:val="0"/>
                <w:sz w:val="24"/>
                <w:szCs w:val="24"/>
              </w:rPr>
              <w:t>LO</w:t>
            </w:r>
            <w:r>
              <w:rPr>
                <w:rFonts w:ascii="仿宋" w:eastAsia="仿宋" w:hAnsi="仿宋" w:cs="宋体" w:hint="eastAsia"/>
                <w:kern w:val="0"/>
                <w:sz w:val="24"/>
                <w:szCs w:val="24"/>
              </w:rPr>
              <w:t>714</w:t>
            </w:r>
          </w:p>
        </w:tc>
        <w:tc>
          <w:tcPr>
            <w:tcW w:w="2470" w:type="dxa"/>
            <w:shd w:val="clear" w:color="auto" w:fill="auto"/>
          </w:tcPr>
          <w:p w14:paraId="40D0C9F9" w14:textId="77777777" w:rsidR="00C74721" w:rsidRDefault="00B832D7">
            <w:pPr>
              <w:rPr>
                <w:sz w:val="20"/>
                <w:szCs w:val="20"/>
              </w:rPr>
            </w:pPr>
            <w:r w:rsidRPr="00B832D7">
              <w:rPr>
                <w:rFonts w:hint="eastAsia"/>
                <w:sz w:val="20"/>
                <w:szCs w:val="20"/>
              </w:rPr>
              <w:t>爱护环境：具有爱护环境的意识和与自然和谐相处的环保理念。</w:t>
            </w:r>
          </w:p>
        </w:tc>
        <w:tc>
          <w:tcPr>
            <w:tcW w:w="2199" w:type="dxa"/>
            <w:vMerge/>
            <w:shd w:val="clear" w:color="auto" w:fill="auto"/>
          </w:tcPr>
          <w:p w14:paraId="40D0C9FA" w14:textId="77777777" w:rsidR="00C74721" w:rsidRDefault="00C74721">
            <w:pPr>
              <w:snapToGrid w:val="0"/>
              <w:spacing w:line="288" w:lineRule="auto"/>
              <w:jc w:val="center"/>
              <w:rPr>
                <w:rFonts w:ascii="黑体" w:eastAsia="黑体" w:hAnsi="宋体"/>
                <w:sz w:val="24"/>
              </w:rPr>
            </w:pPr>
          </w:p>
        </w:tc>
        <w:tc>
          <w:tcPr>
            <w:tcW w:w="1276" w:type="dxa"/>
            <w:vMerge/>
            <w:shd w:val="clear" w:color="auto" w:fill="auto"/>
          </w:tcPr>
          <w:p w14:paraId="40D0C9FB" w14:textId="77777777" w:rsidR="00C74721" w:rsidRDefault="00C74721">
            <w:pPr>
              <w:snapToGrid w:val="0"/>
              <w:spacing w:line="288" w:lineRule="auto"/>
              <w:jc w:val="center"/>
              <w:rPr>
                <w:rFonts w:ascii="黑体" w:eastAsia="黑体" w:hAnsi="宋体"/>
                <w:sz w:val="24"/>
              </w:rPr>
            </w:pPr>
          </w:p>
        </w:tc>
      </w:tr>
    </w:tbl>
    <w:p w14:paraId="40D0C9FD" w14:textId="77777777" w:rsidR="00C74721" w:rsidRDefault="00C74721">
      <w:pPr>
        <w:ind w:firstLineChars="200" w:firstLine="400"/>
        <w:rPr>
          <w:sz w:val="20"/>
          <w:szCs w:val="20"/>
        </w:rPr>
      </w:pPr>
    </w:p>
    <w:p w14:paraId="40D0C9FE" w14:textId="77777777" w:rsidR="00C74721" w:rsidRDefault="00FA2A90" w:rsidP="00B832D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六、课程内容（必填项）</w:t>
      </w:r>
    </w:p>
    <w:p w14:paraId="40D0C9FF" w14:textId="77777777" w:rsidR="00C74721" w:rsidRDefault="00C74721">
      <w:pPr>
        <w:snapToGrid w:val="0"/>
        <w:spacing w:line="288" w:lineRule="auto"/>
        <w:ind w:right="26"/>
        <w:rPr>
          <w:rFonts w:ascii="宋体" w:hAnsi="宋体"/>
          <w:sz w:val="20"/>
          <w:szCs w:val="20"/>
        </w:rPr>
      </w:pPr>
    </w:p>
    <w:p w14:paraId="40D0CA00"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第一章的主题是跨国公司的概述（2学时）</w:t>
      </w:r>
    </w:p>
    <w:p w14:paraId="40D0CA01"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本章介绍跨国公司的基本概念、跨国公司的发展历史及中国跨国公司的发展进程。</w:t>
      </w:r>
    </w:p>
    <w:p w14:paraId="40D0CA02"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03"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（1）理解：掌握跨国公司的基本概念，了解跨国公司的基本特征；</w:t>
      </w:r>
    </w:p>
    <w:p w14:paraId="40D0CA04"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（2）分析：了解跨国公司的发展历史；</w:t>
      </w:r>
    </w:p>
    <w:p w14:paraId="40D0CA05"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（3）综合：了解中国跨国公司的发展历史。</w:t>
      </w:r>
    </w:p>
    <w:p w14:paraId="40D0CA06" w14:textId="77777777" w:rsidR="00C74721" w:rsidRDefault="00C74721">
      <w:pPr>
        <w:snapToGrid w:val="0"/>
        <w:spacing w:line="288" w:lineRule="auto"/>
        <w:ind w:right="26"/>
        <w:rPr>
          <w:rFonts w:ascii="宋体" w:hAnsi="宋体"/>
          <w:sz w:val="20"/>
          <w:szCs w:val="20"/>
        </w:rPr>
      </w:pPr>
    </w:p>
    <w:p w14:paraId="40D0CA07"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第二章的主题是跨国公司的理论与政策（2学时）</w:t>
      </w:r>
    </w:p>
    <w:p w14:paraId="40D0CA08"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本章阐述跨国公司对外直接投资的决定因素、跨国公司对东道国和母国的作用以及国家层面与国际层面关于跨国公司的经济政策。</w:t>
      </w:r>
    </w:p>
    <w:p w14:paraId="40D0CA09"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0A"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（1）理解：掌握跨国公司对外直接投资的决定因素；</w:t>
      </w:r>
    </w:p>
    <w:p w14:paraId="40D0CA0B"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（2）分析：了解跨国公司对东道国与母国的作用；</w:t>
      </w:r>
    </w:p>
    <w:p w14:paraId="40D0CA0C"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（3）综合：了解国家层面和国际层面对于跨国公司的政策与法规。</w:t>
      </w:r>
    </w:p>
    <w:p w14:paraId="40D0CA0D" w14:textId="77777777" w:rsidR="00C74721" w:rsidRDefault="00C74721">
      <w:pPr>
        <w:snapToGrid w:val="0"/>
        <w:spacing w:line="288" w:lineRule="auto"/>
        <w:ind w:right="26"/>
        <w:rPr>
          <w:rFonts w:ascii="宋体" w:hAnsi="宋体"/>
          <w:sz w:val="20"/>
          <w:szCs w:val="20"/>
        </w:rPr>
      </w:pPr>
    </w:p>
    <w:p w14:paraId="40D0CA0E"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第三章的主题是跨国公司外部环境分析（4学时）</w:t>
      </w:r>
    </w:p>
    <w:p w14:paraId="40D0CA0F"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本章介绍跨国公司外部环境的若干特征，从全球商务环境和东道国环境两个层面进行跨国公司外部环境分析。</w:t>
      </w:r>
    </w:p>
    <w:p w14:paraId="40D0CA10"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11"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lastRenderedPageBreak/>
        <w:t>（1）分析：了解跨国公司外部环境不同于一国国内企业环境的若干特征；</w:t>
      </w:r>
    </w:p>
    <w:p w14:paraId="40D0CA12"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（2）理解：掌握跨国公司全球商务环境分析的主要内容与方法；</w:t>
      </w:r>
    </w:p>
    <w:p w14:paraId="40D0CA13"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（3）理解：掌握跨国公司东道国环境的主要内容和方法。</w:t>
      </w:r>
    </w:p>
    <w:p w14:paraId="40D0CA14" w14:textId="77777777" w:rsidR="00C74721" w:rsidRDefault="00C74721">
      <w:pPr>
        <w:snapToGrid w:val="0"/>
        <w:spacing w:line="288" w:lineRule="auto"/>
        <w:ind w:right="26"/>
        <w:rPr>
          <w:rFonts w:ascii="宋体" w:hAnsi="宋体"/>
          <w:sz w:val="20"/>
          <w:szCs w:val="20"/>
        </w:rPr>
      </w:pPr>
    </w:p>
    <w:p w14:paraId="40D0CA15"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第四章的主题是跨国公司市场进入与开发（2学时）</w:t>
      </w:r>
    </w:p>
    <w:p w14:paraId="40D0CA16"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本章介绍跨国公司进入国外市场的主要方式，以及实现这些方式的不同途径。</w:t>
      </w:r>
    </w:p>
    <w:p w14:paraId="40D0CA17"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18"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（1）理解：掌握跨国公司进入国外市场的三类主要方式；</w:t>
      </w:r>
    </w:p>
    <w:p w14:paraId="40D0CA19"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（2）理解：掌握跨国公司对外直接投资的两种主要途径；</w:t>
      </w:r>
    </w:p>
    <w:p w14:paraId="40D0CA1A"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（3）理解：掌握跨国公司企业战略联盟的相关内容。</w:t>
      </w:r>
    </w:p>
    <w:p w14:paraId="40D0CA1B" w14:textId="77777777" w:rsidR="00C74721" w:rsidRDefault="00C74721">
      <w:pPr>
        <w:snapToGrid w:val="0"/>
        <w:spacing w:line="288" w:lineRule="auto"/>
        <w:ind w:right="26"/>
        <w:rPr>
          <w:rFonts w:ascii="宋体" w:hAnsi="宋体"/>
          <w:sz w:val="20"/>
          <w:szCs w:val="20"/>
        </w:rPr>
      </w:pPr>
    </w:p>
    <w:p w14:paraId="40D0CA1C"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第五章的主题是跨国公司全球资源寻求战略（6学时）</w:t>
      </w:r>
    </w:p>
    <w:p w14:paraId="40D0CA1D"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本章介绍跨国公司全球资源寻求战略及整合与竞争优势构建。</w:t>
      </w:r>
    </w:p>
    <w:p w14:paraId="40D0CA1E"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1F"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（1）理解：掌握企业价值链的基本概念；</w:t>
      </w:r>
    </w:p>
    <w:p w14:paraId="40D0CA20"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（2）理解：掌握跨国公司价值链中研究开发、生产制造与市场营销三者之间的相互协调的主要内容；</w:t>
      </w:r>
    </w:p>
    <w:p w14:paraId="40D0CA21"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（3）理解：掌握跨国企业供应链中国际生产的资源需求决策的主要内容；</w:t>
      </w:r>
    </w:p>
    <w:p w14:paraId="40D0CA22"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（4）理解：掌握跨国企业价值系统（产业链）的整合与竞争优势的构建的内涵。</w:t>
      </w:r>
    </w:p>
    <w:p w14:paraId="40D0CA23" w14:textId="77777777" w:rsidR="00C74721" w:rsidRDefault="00C74721">
      <w:pPr>
        <w:snapToGrid w:val="0"/>
        <w:spacing w:line="288" w:lineRule="auto"/>
        <w:ind w:right="26"/>
        <w:rPr>
          <w:rFonts w:ascii="宋体" w:hAnsi="宋体"/>
          <w:sz w:val="20"/>
          <w:szCs w:val="20"/>
        </w:rPr>
      </w:pPr>
    </w:p>
    <w:p w14:paraId="40D0CA24"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第六章的主题是跨国公司的国际战略（4学时）</w:t>
      </w:r>
    </w:p>
    <w:p w14:paraId="40D0CA25"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本章介绍跨国公司两种国际战略的形成与选择以及国际战略的实施路径。</w:t>
      </w:r>
    </w:p>
    <w:p w14:paraId="40D0CA26"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27" w14:textId="77777777" w:rsidR="00C74721" w:rsidRDefault="00FA2A90">
      <w:pPr>
        <w:numPr>
          <w:ilvl w:val="0"/>
          <w:numId w:val="1"/>
        </w:numPr>
        <w:snapToGrid w:val="0"/>
        <w:spacing w:line="288" w:lineRule="auto"/>
        <w:ind w:right="26" w:firstLineChars="200" w:firstLine="400"/>
        <w:rPr>
          <w:rFonts w:ascii="宋体" w:hAnsi="宋体"/>
          <w:sz w:val="20"/>
          <w:szCs w:val="20"/>
        </w:rPr>
      </w:pPr>
      <w:r>
        <w:rPr>
          <w:rFonts w:ascii="宋体" w:hAnsi="宋体" w:hint="eastAsia"/>
          <w:sz w:val="20"/>
          <w:szCs w:val="20"/>
        </w:rPr>
        <w:t>理解：掌握跨国公司国际战略的基本概念，了解两种国际战略的形成与选择及其发展趋势；</w:t>
      </w:r>
    </w:p>
    <w:p w14:paraId="40D0CA28"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（2）分析：了解跨国公司国际战略沿着地域维、业务领域维、职能维3个方向发展的实施路径。</w:t>
      </w:r>
    </w:p>
    <w:p w14:paraId="40D0CA29" w14:textId="77777777" w:rsidR="00C74721" w:rsidRDefault="00C74721">
      <w:pPr>
        <w:snapToGrid w:val="0"/>
        <w:spacing w:line="288" w:lineRule="auto"/>
        <w:ind w:right="26"/>
        <w:rPr>
          <w:rFonts w:ascii="宋体" w:hAnsi="宋体"/>
          <w:sz w:val="20"/>
          <w:szCs w:val="20"/>
        </w:rPr>
      </w:pPr>
    </w:p>
    <w:p w14:paraId="40D0CA2A"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lastRenderedPageBreak/>
        <w:t>第七章的主题是跨国公司研发国际化（2学时）</w:t>
      </w:r>
    </w:p>
    <w:p w14:paraId="40D0CA2B"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本章着重从跨国公司研发国际化角度研究跨国公司的研发管理，能够反映经济全球化背景下跨国公司研发管理的主要特征。</w:t>
      </w:r>
    </w:p>
    <w:p w14:paraId="40D0CA2C" w14:textId="77777777" w:rsidR="00C74721" w:rsidRDefault="00C74721">
      <w:pPr>
        <w:snapToGrid w:val="0"/>
        <w:spacing w:line="288" w:lineRule="auto"/>
        <w:ind w:right="26"/>
        <w:rPr>
          <w:rFonts w:ascii="宋体" w:hAnsi="宋体"/>
          <w:sz w:val="20"/>
          <w:szCs w:val="20"/>
        </w:rPr>
      </w:pPr>
    </w:p>
    <w:p w14:paraId="40D0CA2D"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2E"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（1）理解：掌握跨国公司研发国际化的相关概念，了解跨国公司的基本特征；</w:t>
      </w:r>
    </w:p>
    <w:p w14:paraId="40D0CA2F"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（2）分析：了解跨国公司研发国际化的历史进程；</w:t>
      </w:r>
    </w:p>
    <w:p w14:paraId="40D0CA30"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（3）理解：掌握跨国公司研发国际化的动因；</w:t>
      </w:r>
    </w:p>
    <w:p w14:paraId="40D0CA31"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（4）理解：掌握跨国公司研发国际化的主要方式；</w:t>
      </w:r>
    </w:p>
    <w:p w14:paraId="40D0CA32"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（5）理解：掌握技术外溢的渠道与防范技术外溢的风险措施。</w:t>
      </w:r>
    </w:p>
    <w:p w14:paraId="40D0CA33" w14:textId="77777777" w:rsidR="00C74721" w:rsidRDefault="00C74721">
      <w:pPr>
        <w:snapToGrid w:val="0"/>
        <w:spacing w:line="288" w:lineRule="auto"/>
        <w:ind w:right="26" w:firstLineChars="200" w:firstLine="400"/>
        <w:rPr>
          <w:rFonts w:ascii="宋体" w:hAnsi="宋体"/>
          <w:sz w:val="20"/>
          <w:szCs w:val="20"/>
        </w:rPr>
      </w:pPr>
    </w:p>
    <w:p w14:paraId="40D0CA34"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第八章的主题是跨国公司国际财务管理（2学时）</w:t>
      </w:r>
    </w:p>
    <w:p w14:paraId="40D0CA35"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本章从跨国公司国际财务组织与体系、资金融通与管理、财务风险管理、国际税务管理、金融创新5个方面阐述跨国公司国际财务管理的基本内容。</w:t>
      </w:r>
    </w:p>
    <w:p w14:paraId="40D0CA36"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37"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（1）分析：了解跨国公司国际财务组织与体系的主要内容和大型跨国集团公司财务共享服务中心构建的发展趋势；</w:t>
      </w:r>
    </w:p>
    <w:p w14:paraId="40D0CA38"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（2）分析：了解跨国公司资金融通与管理的主要内容；</w:t>
      </w:r>
    </w:p>
    <w:p w14:paraId="40D0CA39"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（3）分析：了解跨国公司财务风险管理的主要内容；</w:t>
      </w:r>
    </w:p>
    <w:p w14:paraId="40D0CA3A"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（4）分析：了解跨国公司国际税务管理的主要内容；</w:t>
      </w:r>
    </w:p>
    <w:p w14:paraId="40D0CA3B"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（5）分析：了解跨国公司金融创新的发展趋势。</w:t>
      </w:r>
    </w:p>
    <w:p w14:paraId="40D0CA3C" w14:textId="77777777" w:rsidR="00C74721" w:rsidRDefault="00C74721">
      <w:pPr>
        <w:snapToGrid w:val="0"/>
        <w:spacing w:line="288" w:lineRule="auto"/>
        <w:ind w:right="26"/>
        <w:rPr>
          <w:rFonts w:ascii="宋体" w:hAnsi="宋体"/>
          <w:sz w:val="20"/>
          <w:szCs w:val="20"/>
        </w:rPr>
      </w:pPr>
    </w:p>
    <w:p w14:paraId="40D0CA3D"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第九章的主题是跨国公司的组织结构与管理（2学时）</w:t>
      </w:r>
    </w:p>
    <w:p w14:paraId="40D0CA3E"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本章重点阐述跨国公司各种组织结构的概念、适用条件和优缺点，在此基础上介绍“结构跟随战略”的相关理论以及从法律形式划分的下属公司的两种类型—分公司与子公司。</w:t>
      </w:r>
    </w:p>
    <w:p w14:paraId="40D0CA3F"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40"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（1）理解：掌握跨国公司组织结构演变进程中各种形式的内涵和应用条件；</w:t>
      </w:r>
    </w:p>
    <w:p w14:paraId="40D0CA41"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（2）理解：掌握跨国公司战略与组织结构关系的相关理论；</w:t>
      </w:r>
    </w:p>
    <w:p w14:paraId="40D0CA42"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（3）理解：掌握跨国公司下属公司选择分公司或子公司不同形式的依据。</w:t>
      </w:r>
    </w:p>
    <w:p w14:paraId="40D0CA43" w14:textId="77777777" w:rsidR="00C74721" w:rsidRDefault="00C74721">
      <w:pPr>
        <w:snapToGrid w:val="0"/>
        <w:spacing w:line="288" w:lineRule="auto"/>
        <w:ind w:right="26"/>
        <w:rPr>
          <w:rFonts w:ascii="宋体" w:hAnsi="宋体"/>
          <w:sz w:val="20"/>
          <w:szCs w:val="20"/>
        </w:rPr>
      </w:pPr>
    </w:p>
    <w:p w14:paraId="40D0CA44"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第十章的主题是跨国公司利益相关者与社会责任（2学时）</w:t>
      </w:r>
    </w:p>
    <w:p w14:paraId="40D0CA45"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本章阐述跨国公司主要利益相关者和利益追求者及其与之相关冲突管理和跨国公司社会责任。</w:t>
      </w:r>
    </w:p>
    <w:p w14:paraId="40D0CA46"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教学内容</w:t>
      </w:r>
    </w:p>
    <w:p w14:paraId="40D0CA47"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（1）分析：了解跨国公司的主要利益相关者及与其利益追求、矛盾、冲突与均衡；</w:t>
      </w:r>
    </w:p>
    <w:p w14:paraId="40D0CA48"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（2）理解：掌握利益冲突与协调中跨国公司策略和行为选择；</w:t>
      </w:r>
    </w:p>
    <w:p w14:paraId="40D0CA49"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（3）理解：掌握跨国公司履行社会责任所遵循的原则、主要形式和主要途径。</w:t>
      </w:r>
    </w:p>
    <w:p w14:paraId="40D0CA4A" w14:textId="77777777" w:rsidR="00C74721" w:rsidRDefault="00C74721">
      <w:pPr>
        <w:snapToGrid w:val="0"/>
        <w:spacing w:line="288" w:lineRule="auto"/>
        <w:ind w:right="26"/>
        <w:rPr>
          <w:rFonts w:ascii="宋体" w:hAnsi="宋体"/>
          <w:sz w:val="20"/>
          <w:szCs w:val="20"/>
        </w:rPr>
      </w:pPr>
    </w:p>
    <w:p w14:paraId="40D0CA4B" w14:textId="77777777" w:rsidR="00C74721" w:rsidRDefault="00FA2A90" w:rsidP="00B832D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14:paraId="40D0CA4C" w14:textId="77777777" w:rsidR="00C74721" w:rsidRDefault="00FA2A90">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32"/>
        <w:gridCol w:w="2928"/>
        <w:gridCol w:w="900"/>
        <w:gridCol w:w="1057"/>
        <w:gridCol w:w="1715"/>
      </w:tblGrid>
      <w:tr w:rsidR="00C74721" w14:paraId="40D0CA54" w14:textId="77777777">
        <w:trPr>
          <w:trHeight w:val="34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0D0CA4D" w14:textId="77777777" w:rsidR="00C74721" w:rsidRDefault="00FA2A90">
            <w:pPr>
              <w:snapToGrid w:val="0"/>
              <w:jc w:val="center"/>
              <w:rPr>
                <w:rFonts w:ascii="宋体"/>
                <w:sz w:val="20"/>
                <w:szCs w:val="20"/>
              </w:rPr>
            </w:pPr>
            <w:r>
              <w:rPr>
                <w:rFonts w:ascii="宋体" w:hAnsi="宋体" w:hint="eastAsia"/>
                <w:sz w:val="20"/>
                <w:szCs w:val="20"/>
              </w:rPr>
              <w:t>序号</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14:paraId="40D0CA4E" w14:textId="77777777" w:rsidR="00C74721" w:rsidRDefault="00FA2A90">
            <w:pPr>
              <w:snapToGrid w:val="0"/>
              <w:jc w:val="center"/>
              <w:rPr>
                <w:rFonts w:ascii="宋体"/>
                <w:sz w:val="20"/>
                <w:szCs w:val="20"/>
              </w:rPr>
            </w:pPr>
            <w:r>
              <w:rPr>
                <w:rFonts w:ascii="宋体" w:hAnsi="宋体" w:hint="eastAsia"/>
                <w:sz w:val="20"/>
                <w:szCs w:val="20"/>
              </w:rPr>
              <w:t>实验名称</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14:paraId="40D0CA4F" w14:textId="77777777" w:rsidR="00C74721" w:rsidRDefault="00FA2A90">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D0CA50" w14:textId="77777777" w:rsidR="00C74721" w:rsidRDefault="00FA2A90">
            <w:pPr>
              <w:snapToGrid w:val="0"/>
              <w:jc w:val="center"/>
              <w:rPr>
                <w:rFonts w:ascii="宋体" w:hAnsi="宋体"/>
                <w:sz w:val="20"/>
                <w:szCs w:val="20"/>
              </w:rPr>
            </w:pPr>
            <w:r>
              <w:rPr>
                <w:rFonts w:ascii="宋体" w:hAnsi="宋体" w:hint="eastAsia"/>
                <w:sz w:val="20"/>
                <w:szCs w:val="20"/>
              </w:rPr>
              <w:t>实验</w:t>
            </w:r>
          </w:p>
          <w:p w14:paraId="40D0CA51" w14:textId="77777777" w:rsidR="00C74721" w:rsidRDefault="00FA2A90">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40D0CA52" w14:textId="77777777" w:rsidR="00C74721" w:rsidRDefault="00FA2A90">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40D0CA53" w14:textId="77777777" w:rsidR="00C74721" w:rsidRDefault="00FA2A90">
            <w:pPr>
              <w:snapToGrid w:val="0"/>
              <w:jc w:val="center"/>
              <w:rPr>
                <w:rFonts w:ascii="宋体"/>
                <w:sz w:val="20"/>
                <w:szCs w:val="20"/>
              </w:rPr>
            </w:pPr>
            <w:r>
              <w:rPr>
                <w:rFonts w:ascii="宋体" w:hAnsi="宋体" w:hint="eastAsia"/>
                <w:sz w:val="20"/>
                <w:szCs w:val="20"/>
              </w:rPr>
              <w:t>备注</w:t>
            </w:r>
          </w:p>
        </w:tc>
      </w:tr>
      <w:tr w:rsidR="00C74721" w14:paraId="40D0CA5B" w14:textId="77777777">
        <w:trPr>
          <w:trHeight w:hRule="exact" w:val="887"/>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0D0CA55" w14:textId="77777777" w:rsidR="00C74721" w:rsidRDefault="00FA2A90" w:rsidP="00B832D7">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14:paraId="40D0CA56" w14:textId="77777777" w:rsidR="00C74721" w:rsidRDefault="00C74721" w:rsidP="00B832D7">
            <w:pPr>
              <w:snapToGrid w:val="0"/>
              <w:spacing w:beforeLines="50" w:before="156" w:afterLines="50" w:after="156" w:line="288" w:lineRule="auto"/>
              <w:jc w:val="center"/>
              <w:rPr>
                <w:rFonts w:ascii="宋体"/>
                <w:sz w:val="16"/>
                <w:szCs w:val="16"/>
              </w:rPr>
            </w:pP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14:paraId="40D0CA57" w14:textId="77777777" w:rsidR="00C74721" w:rsidRDefault="00C74721" w:rsidP="00B832D7">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D0CA58" w14:textId="77777777" w:rsidR="00C74721" w:rsidRDefault="00C74721" w:rsidP="00B832D7">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40D0CA59" w14:textId="77777777" w:rsidR="00C74721" w:rsidRDefault="00C74721" w:rsidP="00B832D7">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40D0CA5A" w14:textId="77777777" w:rsidR="00C74721" w:rsidRDefault="00C74721" w:rsidP="00B832D7">
            <w:pPr>
              <w:snapToGrid w:val="0"/>
              <w:spacing w:beforeLines="50" w:before="156" w:afterLines="50" w:after="156" w:line="288" w:lineRule="auto"/>
              <w:jc w:val="center"/>
              <w:rPr>
                <w:rFonts w:ascii="宋体"/>
                <w:sz w:val="16"/>
                <w:szCs w:val="16"/>
              </w:rPr>
            </w:pPr>
          </w:p>
        </w:tc>
      </w:tr>
    </w:tbl>
    <w:p w14:paraId="40D0CA5C" w14:textId="77777777" w:rsidR="00C74721" w:rsidRDefault="00C74721">
      <w:pPr>
        <w:snapToGrid w:val="0"/>
        <w:spacing w:line="288" w:lineRule="auto"/>
        <w:ind w:right="2520" w:firstLineChars="200" w:firstLine="400"/>
        <w:rPr>
          <w:sz w:val="20"/>
          <w:szCs w:val="20"/>
        </w:rPr>
      </w:pPr>
    </w:p>
    <w:p w14:paraId="40D0CA5D" w14:textId="77777777" w:rsidR="00C74721" w:rsidRDefault="00FA2A90" w:rsidP="00B832D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七、实践环节各阶段名称及基本要求（选填，适用于集中实践、实习、毕业设计等）</w:t>
      </w:r>
    </w:p>
    <w:p w14:paraId="40D0CA5E" w14:textId="77777777" w:rsidR="00C74721" w:rsidRDefault="00FA2A90">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C74721" w14:paraId="40D0CA64" w14:textId="77777777">
        <w:trPr>
          <w:trHeight w:val="3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D0CA5F" w14:textId="77777777" w:rsidR="00C74721" w:rsidRDefault="00FA2A90">
            <w:pPr>
              <w:snapToGrid w:val="0"/>
              <w:jc w:val="center"/>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0D0CA60" w14:textId="77777777" w:rsidR="00C74721" w:rsidRDefault="00FA2A90">
            <w:pPr>
              <w:snapToGrid w:val="0"/>
              <w:ind w:firstLineChars="150" w:firstLine="300"/>
              <w:jc w:val="center"/>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0D0CA61" w14:textId="77777777" w:rsidR="00C74721" w:rsidRDefault="00FA2A90">
            <w:pPr>
              <w:snapToGrid w:val="0"/>
              <w:ind w:firstLineChars="450" w:firstLine="900"/>
              <w:jc w:val="center"/>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0D0CA62" w14:textId="77777777" w:rsidR="00C74721" w:rsidRDefault="00FA2A90">
            <w:pPr>
              <w:snapToGrid w:val="0"/>
              <w:jc w:val="center"/>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14:paraId="40D0CA63" w14:textId="77777777" w:rsidR="00C74721" w:rsidRDefault="00FA2A90">
            <w:pPr>
              <w:snapToGrid w:val="0"/>
              <w:jc w:val="center"/>
              <w:rPr>
                <w:rFonts w:ascii="宋体"/>
                <w:sz w:val="20"/>
                <w:szCs w:val="20"/>
              </w:rPr>
            </w:pPr>
            <w:r>
              <w:rPr>
                <w:rFonts w:ascii="宋体" w:hAnsi="宋体" w:hint="eastAsia"/>
                <w:sz w:val="20"/>
                <w:szCs w:val="20"/>
              </w:rPr>
              <w:t>备注</w:t>
            </w:r>
          </w:p>
        </w:tc>
      </w:tr>
      <w:tr w:rsidR="00C74721" w14:paraId="40D0CA6A" w14:textId="77777777">
        <w:trPr>
          <w:trHeight w:hRule="exact" w:val="564"/>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D0CA65" w14:textId="77777777" w:rsidR="00C74721" w:rsidRDefault="00C74721" w:rsidP="00B832D7">
            <w:pPr>
              <w:snapToGrid w:val="0"/>
              <w:spacing w:beforeLines="50" w:before="156" w:afterLines="50" w:after="156" w:line="288" w:lineRule="auto"/>
              <w:jc w:val="center"/>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0D0CA66" w14:textId="77777777" w:rsidR="00C74721" w:rsidRDefault="00C74721" w:rsidP="00B832D7">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0D0CA67" w14:textId="77777777" w:rsidR="00C74721" w:rsidRDefault="00C74721" w:rsidP="00B832D7">
            <w:pPr>
              <w:snapToGrid w:val="0"/>
              <w:spacing w:beforeLines="50" w:before="156" w:afterLines="50" w:after="156" w:line="288" w:lineRule="auto"/>
              <w:jc w:val="center"/>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0D0CA68" w14:textId="77777777" w:rsidR="00C74721" w:rsidRDefault="00C74721" w:rsidP="00B832D7">
            <w:pPr>
              <w:snapToGrid w:val="0"/>
              <w:spacing w:beforeLines="50" w:before="156" w:afterLines="50" w:after="156" w:line="288" w:lineRule="auto"/>
              <w:jc w:val="center"/>
              <w:rPr>
                <w:rFonts w:ascii="宋体"/>
                <w:sz w:val="16"/>
                <w:szCs w:val="16"/>
              </w:rPr>
            </w:pPr>
          </w:p>
        </w:tc>
        <w:tc>
          <w:tcPr>
            <w:tcW w:w="1125" w:type="dxa"/>
            <w:tcBorders>
              <w:left w:val="single" w:sz="4" w:space="0" w:color="auto"/>
              <w:right w:val="single" w:sz="4" w:space="0" w:color="auto"/>
            </w:tcBorders>
            <w:shd w:val="clear" w:color="auto" w:fill="auto"/>
            <w:vAlign w:val="center"/>
          </w:tcPr>
          <w:p w14:paraId="40D0CA69" w14:textId="77777777" w:rsidR="00C74721" w:rsidRDefault="00C74721" w:rsidP="00B832D7">
            <w:pPr>
              <w:snapToGrid w:val="0"/>
              <w:spacing w:beforeLines="50" w:before="156" w:afterLines="50" w:after="156" w:line="288" w:lineRule="auto"/>
              <w:jc w:val="center"/>
              <w:rPr>
                <w:rFonts w:ascii="宋体"/>
                <w:sz w:val="16"/>
                <w:szCs w:val="16"/>
              </w:rPr>
            </w:pPr>
          </w:p>
        </w:tc>
      </w:tr>
    </w:tbl>
    <w:p w14:paraId="40D0CA6B" w14:textId="77777777" w:rsidR="00C74721" w:rsidRDefault="00C74721">
      <w:pPr>
        <w:snapToGrid w:val="0"/>
        <w:spacing w:line="288" w:lineRule="auto"/>
        <w:ind w:right="2520" w:firstLineChars="200" w:firstLine="480"/>
        <w:rPr>
          <w:rFonts w:ascii="黑体" w:eastAsia="黑体" w:hAnsi="宋体"/>
          <w:sz w:val="24"/>
        </w:rPr>
      </w:pPr>
    </w:p>
    <w:p w14:paraId="40D0CA6C" w14:textId="77777777" w:rsidR="00C74721" w:rsidRDefault="00C74721">
      <w:pPr>
        <w:snapToGrid w:val="0"/>
        <w:spacing w:line="288" w:lineRule="auto"/>
        <w:ind w:right="2520" w:firstLineChars="200" w:firstLine="480"/>
        <w:rPr>
          <w:rFonts w:ascii="黑体" w:eastAsia="黑体" w:hAnsi="宋体"/>
          <w:sz w:val="24"/>
        </w:rPr>
      </w:pPr>
    </w:p>
    <w:p w14:paraId="40D0CA6D" w14:textId="77777777" w:rsidR="00C74721" w:rsidRDefault="00FA2A90">
      <w:pPr>
        <w:snapToGrid w:val="0"/>
        <w:spacing w:line="288" w:lineRule="auto"/>
        <w:ind w:right="2520" w:firstLineChars="200" w:firstLine="480"/>
        <w:rPr>
          <w:sz w:val="20"/>
          <w:szCs w:val="20"/>
        </w:rPr>
      </w:pPr>
      <w:r>
        <w:rPr>
          <w:rFonts w:ascii="黑体" w:eastAsia="黑体" w:hAnsi="宋体" w:hint="eastAsia"/>
          <w:sz w:val="24"/>
        </w:rPr>
        <w:t>八、评价方式与成绩</w:t>
      </w:r>
      <w:r>
        <w:rPr>
          <w:rFonts w:ascii="黑体" w:eastAsia="黑体" w:hAnsi="宋体"/>
          <w:sz w:val="24"/>
        </w:rPr>
        <w:t>（必填项）</w:t>
      </w:r>
    </w:p>
    <w:tbl>
      <w:tblPr>
        <w:tblpPr w:leftFromText="180" w:rightFromText="180" w:vertAnchor="text" w:horzAnchor="page" w:tblpXSpec="center" w:tblpY="80"/>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C74721" w14:paraId="40D0CA71" w14:textId="77777777">
        <w:trPr>
          <w:jc w:val="center"/>
        </w:trPr>
        <w:tc>
          <w:tcPr>
            <w:tcW w:w="1809" w:type="dxa"/>
            <w:shd w:val="clear" w:color="auto" w:fill="auto"/>
          </w:tcPr>
          <w:p w14:paraId="40D0CA6E" w14:textId="77777777" w:rsidR="00C74721" w:rsidRDefault="00FA2A90"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总评构成（</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40D0CA6F" w14:textId="77777777" w:rsidR="00C74721" w:rsidRDefault="00FA2A90"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40D0CA70" w14:textId="77777777" w:rsidR="00C74721" w:rsidRDefault="00FA2A90"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C74721" w14:paraId="40D0CA75" w14:textId="77777777">
        <w:trPr>
          <w:jc w:val="center"/>
        </w:trPr>
        <w:tc>
          <w:tcPr>
            <w:tcW w:w="1809" w:type="dxa"/>
            <w:shd w:val="clear" w:color="auto" w:fill="auto"/>
          </w:tcPr>
          <w:p w14:paraId="40D0CA72" w14:textId="77777777" w:rsidR="00C74721" w:rsidRDefault="008924B5"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w:t>
            </w:r>
            <w:r w:rsidR="00FA2A90">
              <w:rPr>
                <w:rFonts w:ascii="宋体" w:hAnsi="宋体" w:hint="eastAsia"/>
                <w:bCs/>
                <w:color w:val="000000"/>
                <w:szCs w:val="20"/>
              </w:rPr>
              <w:t>1</w:t>
            </w:r>
          </w:p>
        </w:tc>
        <w:tc>
          <w:tcPr>
            <w:tcW w:w="5103" w:type="dxa"/>
            <w:shd w:val="clear" w:color="auto" w:fill="auto"/>
          </w:tcPr>
          <w:p w14:paraId="40D0CA73" w14:textId="77777777" w:rsidR="00C74721" w:rsidRDefault="00FA2A90"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案例分析</w:t>
            </w:r>
          </w:p>
        </w:tc>
        <w:tc>
          <w:tcPr>
            <w:tcW w:w="1843" w:type="dxa"/>
            <w:shd w:val="clear" w:color="auto" w:fill="auto"/>
          </w:tcPr>
          <w:p w14:paraId="40D0CA74" w14:textId="77777777" w:rsidR="00C74721" w:rsidRDefault="008924B5"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FA2A90">
              <w:rPr>
                <w:rFonts w:ascii="宋体" w:hAnsi="宋体" w:hint="eastAsia"/>
                <w:bCs/>
                <w:color w:val="000000"/>
                <w:szCs w:val="20"/>
              </w:rPr>
              <w:t>%</w:t>
            </w:r>
          </w:p>
        </w:tc>
      </w:tr>
      <w:tr w:rsidR="00C74721" w14:paraId="40D0CA79" w14:textId="77777777">
        <w:trPr>
          <w:jc w:val="center"/>
        </w:trPr>
        <w:tc>
          <w:tcPr>
            <w:tcW w:w="1809" w:type="dxa"/>
            <w:shd w:val="clear" w:color="auto" w:fill="auto"/>
          </w:tcPr>
          <w:p w14:paraId="40D0CA76" w14:textId="77777777" w:rsidR="00C74721" w:rsidRDefault="00FA2A90"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lastRenderedPageBreak/>
              <w:t>X2</w:t>
            </w:r>
          </w:p>
        </w:tc>
        <w:tc>
          <w:tcPr>
            <w:tcW w:w="5103" w:type="dxa"/>
            <w:shd w:val="clear" w:color="auto" w:fill="auto"/>
          </w:tcPr>
          <w:p w14:paraId="40D0CA77" w14:textId="77777777" w:rsidR="00C74721" w:rsidRDefault="00FA2A90"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项目策划</w:t>
            </w:r>
          </w:p>
        </w:tc>
        <w:tc>
          <w:tcPr>
            <w:tcW w:w="1843" w:type="dxa"/>
            <w:shd w:val="clear" w:color="auto" w:fill="auto"/>
          </w:tcPr>
          <w:p w14:paraId="40D0CA78" w14:textId="77777777" w:rsidR="00C74721" w:rsidRDefault="008924B5"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w:t>
            </w:r>
            <w:r w:rsidR="00FA2A90">
              <w:rPr>
                <w:rFonts w:ascii="宋体" w:hAnsi="宋体" w:hint="eastAsia"/>
                <w:bCs/>
                <w:color w:val="000000"/>
                <w:szCs w:val="20"/>
              </w:rPr>
              <w:t>0%</w:t>
            </w:r>
          </w:p>
        </w:tc>
      </w:tr>
      <w:tr w:rsidR="00C74721" w14:paraId="40D0CA7D" w14:textId="77777777">
        <w:trPr>
          <w:jc w:val="center"/>
        </w:trPr>
        <w:tc>
          <w:tcPr>
            <w:tcW w:w="1809" w:type="dxa"/>
            <w:shd w:val="clear" w:color="auto" w:fill="auto"/>
          </w:tcPr>
          <w:p w14:paraId="40D0CA7A" w14:textId="77777777" w:rsidR="00C74721" w:rsidRDefault="00FA2A90"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40D0CA7B" w14:textId="77777777" w:rsidR="00C74721" w:rsidRDefault="00FA2A90"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社会报告</w:t>
            </w:r>
          </w:p>
        </w:tc>
        <w:tc>
          <w:tcPr>
            <w:tcW w:w="1843" w:type="dxa"/>
            <w:shd w:val="clear" w:color="auto" w:fill="auto"/>
          </w:tcPr>
          <w:p w14:paraId="40D0CA7C" w14:textId="77777777" w:rsidR="00C74721" w:rsidRDefault="008924B5" w:rsidP="00B832D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w:t>
            </w:r>
            <w:r w:rsidR="00FA2A90">
              <w:rPr>
                <w:rFonts w:ascii="宋体" w:hAnsi="宋体" w:hint="eastAsia"/>
                <w:bCs/>
                <w:color w:val="000000"/>
                <w:szCs w:val="20"/>
              </w:rPr>
              <w:t>0%</w:t>
            </w:r>
          </w:p>
        </w:tc>
      </w:tr>
    </w:tbl>
    <w:p w14:paraId="40D0CA7E" w14:textId="77777777" w:rsidR="00C74721" w:rsidRDefault="00C74721" w:rsidP="00B832D7">
      <w:pPr>
        <w:widowControl/>
        <w:spacing w:beforeLines="50" w:before="156" w:afterLines="50" w:after="156" w:line="288" w:lineRule="auto"/>
        <w:jc w:val="left"/>
        <w:rPr>
          <w:rFonts w:ascii="黑体" w:eastAsia="黑体" w:hAnsi="宋体"/>
          <w:sz w:val="24"/>
        </w:rPr>
      </w:pPr>
    </w:p>
    <w:p w14:paraId="40D0CA7F" w14:textId="77777777" w:rsidR="00C74721" w:rsidRDefault="00FA2A90">
      <w:pPr>
        <w:snapToGrid w:val="0"/>
        <w:spacing w:line="288" w:lineRule="auto"/>
        <w:ind w:firstLineChars="300" w:firstLine="840"/>
        <w:rPr>
          <w:sz w:val="28"/>
          <w:szCs w:val="28"/>
        </w:rPr>
      </w:pPr>
      <w:r>
        <w:rPr>
          <w:rFonts w:hint="eastAsia"/>
          <w:sz w:val="28"/>
          <w:szCs w:val="28"/>
        </w:rPr>
        <w:t>撰写人：高汉英</w:t>
      </w:r>
      <w:r>
        <w:rPr>
          <w:rFonts w:hint="eastAsia"/>
          <w:sz w:val="28"/>
          <w:szCs w:val="28"/>
        </w:rPr>
        <w:t xml:space="preserve">             </w:t>
      </w:r>
      <w:r>
        <w:rPr>
          <w:rFonts w:hint="eastAsia"/>
          <w:sz w:val="28"/>
          <w:szCs w:val="28"/>
        </w:rPr>
        <w:t>系主任审核签名：吴璠</w:t>
      </w:r>
    </w:p>
    <w:p w14:paraId="40D0CA80" w14:textId="77777777" w:rsidR="00C74721" w:rsidRDefault="00FA2A90">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r w:rsidR="008924B5">
        <w:rPr>
          <w:rFonts w:hint="eastAsia"/>
          <w:sz w:val="28"/>
          <w:szCs w:val="28"/>
        </w:rPr>
        <w:t>2021</w:t>
      </w:r>
      <w:r w:rsidR="008924B5">
        <w:rPr>
          <w:rFonts w:hint="eastAsia"/>
          <w:sz w:val="28"/>
          <w:szCs w:val="28"/>
        </w:rPr>
        <w:t>年</w:t>
      </w:r>
      <w:r w:rsidR="008924B5">
        <w:rPr>
          <w:rFonts w:hint="eastAsia"/>
          <w:sz w:val="28"/>
          <w:szCs w:val="28"/>
        </w:rPr>
        <w:t>3</w:t>
      </w:r>
      <w:r w:rsidR="008924B5">
        <w:rPr>
          <w:rFonts w:hint="eastAsia"/>
          <w:sz w:val="28"/>
          <w:szCs w:val="28"/>
        </w:rPr>
        <w:t>月</w:t>
      </w:r>
      <w:r w:rsidR="008924B5">
        <w:rPr>
          <w:rFonts w:hint="eastAsia"/>
          <w:sz w:val="28"/>
          <w:szCs w:val="28"/>
        </w:rPr>
        <w:t>2</w:t>
      </w:r>
      <w:r w:rsidR="008924B5">
        <w:rPr>
          <w:rFonts w:hint="eastAsia"/>
          <w:sz w:val="28"/>
          <w:szCs w:val="28"/>
        </w:rPr>
        <w:t>日</w:t>
      </w:r>
      <w:r>
        <w:rPr>
          <w:rFonts w:hint="eastAsia"/>
          <w:sz w:val="28"/>
          <w:szCs w:val="28"/>
        </w:rPr>
        <w:t xml:space="preserve">                    </w:t>
      </w:r>
    </w:p>
    <w:p w14:paraId="40D0CA81" w14:textId="77777777" w:rsidR="00C74721" w:rsidRDefault="00C74721"/>
    <w:sectPr w:rsidR="00C74721" w:rsidSect="00C74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6A57E2"/>
    <w:multiLevelType w:val="singleLevel"/>
    <w:tmpl w:val="D06A57E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723128"/>
    <w:rsid w:val="008924B5"/>
    <w:rsid w:val="008B397C"/>
    <w:rsid w:val="008B47F4"/>
    <w:rsid w:val="00900019"/>
    <w:rsid w:val="0099063E"/>
    <w:rsid w:val="00A769B1"/>
    <w:rsid w:val="00A837D5"/>
    <w:rsid w:val="00AC4C45"/>
    <w:rsid w:val="00B46F21"/>
    <w:rsid w:val="00B511A5"/>
    <w:rsid w:val="00B736A7"/>
    <w:rsid w:val="00B7651F"/>
    <w:rsid w:val="00B832D7"/>
    <w:rsid w:val="00C56E09"/>
    <w:rsid w:val="00C74721"/>
    <w:rsid w:val="00CF096B"/>
    <w:rsid w:val="00E16D30"/>
    <w:rsid w:val="00E33169"/>
    <w:rsid w:val="00E70904"/>
    <w:rsid w:val="00EF44B1"/>
    <w:rsid w:val="00F35AA0"/>
    <w:rsid w:val="00FA2A90"/>
    <w:rsid w:val="016E63C2"/>
    <w:rsid w:val="024B0C39"/>
    <w:rsid w:val="03C661A0"/>
    <w:rsid w:val="0A8128A6"/>
    <w:rsid w:val="0B38481C"/>
    <w:rsid w:val="0BBC3CE5"/>
    <w:rsid w:val="0BF32A1B"/>
    <w:rsid w:val="0D3D11EB"/>
    <w:rsid w:val="10BD2C22"/>
    <w:rsid w:val="133E5B66"/>
    <w:rsid w:val="15437F36"/>
    <w:rsid w:val="22987C80"/>
    <w:rsid w:val="24192CCC"/>
    <w:rsid w:val="2B841252"/>
    <w:rsid w:val="37376F87"/>
    <w:rsid w:val="39A66CD4"/>
    <w:rsid w:val="3CD52CE1"/>
    <w:rsid w:val="3FD06672"/>
    <w:rsid w:val="405D513A"/>
    <w:rsid w:val="410F2E6A"/>
    <w:rsid w:val="4430136C"/>
    <w:rsid w:val="45176951"/>
    <w:rsid w:val="4AB0382B"/>
    <w:rsid w:val="4E52447A"/>
    <w:rsid w:val="55BA4CA0"/>
    <w:rsid w:val="569868B5"/>
    <w:rsid w:val="5850623D"/>
    <w:rsid w:val="5B7E5CFF"/>
    <w:rsid w:val="5DCA620A"/>
    <w:rsid w:val="5EA45497"/>
    <w:rsid w:val="611F6817"/>
    <w:rsid w:val="61983B37"/>
    <w:rsid w:val="64513FB6"/>
    <w:rsid w:val="66CA1754"/>
    <w:rsid w:val="688D708C"/>
    <w:rsid w:val="6A2B32EC"/>
    <w:rsid w:val="6B6F02A2"/>
    <w:rsid w:val="6B860521"/>
    <w:rsid w:val="6F1E65D4"/>
    <w:rsid w:val="6F266C86"/>
    <w:rsid w:val="6F5042C2"/>
    <w:rsid w:val="74316312"/>
    <w:rsid w:val="780F13C8"/>
    <w:rsid w:val="7B05534D"/>
    <w:rsid w:val="7B643310"/>
    <w:rsid w:val="7BED54D0"/>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40D0C971"/>
  <w15:docId w15:val="{89719911-7B5A-4804-A1E4-E70F346B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21"/>
    <w:pPr>
      <w:widowControl w:val="0"/>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74721"/>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HeaderChar"/>
    <w:uiPriority w:val="99"/>
    <w:unhideWhenUsed/>
    <w:qFormat/>
    <w:rsid w:val="00C747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TableGrid">
    <w:name w:val="Table Grid"/>
    <w:basedOn w:val="TableNormal"/>
    <w:qFormat/>
    <w:rsid w:val="00C7472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qFormat/>
    <w:rsid w:val="00C74721"/>
    <w:rPr>
      <w:sz w:val="18"/>
      <w:szCs w:val="18"/>
    </w:rPr>
  </w:style>
  <w:style w:type="character" w:customStyle="1" w:styleId="FooterChar">
    <w:name w:val="Footer Char"/>
    <w:basedOn w:val="DefaultParagraphFont"/>
    <w:link w:val="Footer"/>
    <w:uiPriority w:val="99"/>
    <w:semiHidden/>
    <w:qFormat/>
    <w:rsid w:val="00C747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HE Jun</cp:lastModifiedBy>
  <cp:revision>4</cp:revision>
  <dcterms:created xsi:type="dcterms:W3CDTF">2021-04-25T06:40:00Z</dcterms:created>
  <dcterms:modified xsi:type="dcterms:W3CDTF">2021-10-31T14:39:00Z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