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【珠宝首饰品牌】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Jewelry Brands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2120017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产品设计（珠宝首饰设计）专业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珠宝学院产品设计系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ascii="宋体" w:hAnsi="宋体" w:cs="宋体"/>
          <w:sz w:val="20"/>
          <w:szCs w:val="20"/>
        </w:rPr>
        <w:t>世界珠宝品牌简史</w:t>
      </w:r>
      <w:r>
        <w:rPr>
          <w:rFonts w:hint="eastAsia" w:ascii="宋体" w:hAnsi="宋体" w:cs="宋体"/>
          <w:sz w:val="20"/>
          <w:szCs w:val="20"/>
        </w:rPr>
        <w:t>》</w:t>
      </w:r>
      <w:r>
        <w:rPr>
          <w:rFonts w:ascii="宋体" w:hAnsi="宋体" w:cs="宋体"/>
          <w:sz w:val="20"/>
          <w:szCs w:val="20"/>
        </w:rPr>
        <w:t>任进，巫金津著</w:t>
      </w:r>
      <w:r>
        <w:rPr>
          <w:rFonts w:hint="eastAsia" w:ascii="宋体" w:hAnsi="宋体" w:cs="宋体"/>
          <w:sz w:val="20"/>
          <w:szCs w:val="20"/>
        </w:rPr>
        <w:t>，</w:t>
      </w:r>
      <w:r>
        <w:rPr>
          <w:rFonts w:ascii="宋体" w:hAnsi="宋体" w:cs="宋体"/>
          <w:sz w:val="20"/>
          <w:szCs w:val="20"/>
        </w:rPr>
        <w:t>中国地质大学出版社</w:t>
      </w:r>
      <w:r>
        <w:rPr>
          <w:rFonts w:hint="eastAsia" w:ascii="宋体" w:hAnsi="宋体" w:cs="宋体"/>
          <w:sz w:val="20"/>
          <w:szCs w:val="20"/>
        </w:rPr>
        <w:t xml:space="preserve"> 2016</w:t>
      </w:r>
      <w:r>
        <w:rPr>
          <w:rFonts w:ascii="宋体" w:hAnsi="宋体" w:cs="宋体"/>
          <w:sz w:val="20"/>
          <w:szCs w:val="20"/>
        </w:rPr>
        <w:t>.9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792" w:firstLineChars="396"/>
        <w:rPr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《世界品牌故事：珠宝卷》北京大陆桥文化传媒著，中国青年出版社</w:t>
      </w:r>
      <w:r>
        <w:rPr>
          <w:rFonts w:hint="eastAsia" w:ascii="宋体" w:hAnsi="宋体" w:cs="宋体"/>
          <w:sz w:val="20"/>
          <w:szCs w:val="20"/>
        </w:rPr>
        <w:t>2009.5</w:t>
      </w:r>
      <w:r>
        <w:rPr>
          <w:color w:val="000000"/>
          <w:sz w:val="20"/>
          <w:szCs w:val="20"/>
        </w:rPr>
        <w:t>】</w:t>
      </w:r>
    </w:p>
    <w:p>
      <w:pPr>
        <w:tabs>
          <w:tab w:val="left" w:pos="532"/>
        </w:tabs>
        <w:spacing w:line="340" w:lineRule="exact"/>
        <w:ind w:firstLine="400" w:firstLineChars="200"/>
        <w:rPr>
          <w:rFonts w:ascii="宋体" w:hAnsi="宋体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《奢侈品品牌管理》</w:t>
      </w:r>
      <w:r>
        <w:rPr>
          <w:color w:val="000000"/>
          <w:sz w:val="20"/>
          <w:szCs w:val="20"/>
        </w:rPr>
        <w:t>[</w:t>
      </w:r>
      <w:r>
        <w:rPr>
          <w:rFonts w:hint="eastAsia"/>
          <w:color w:val="000000"/>
          <w:sz w:val="20"/>
          <w:szCs w:val="20"/>
        </w:rPr>
        <w:t>法</w:t>
      </w:r>
      <w:r>
        <w:rPr>
          <w:color w:val="000000"/>
          <w:sz w:val="20"/>
          <w:szCs w:val="20"/>
        </w:rPr>
        <w:t>]</w:t>
      </w:r>
      <w:r>
        <w:rPr>
          <w:rFonts w:hint="eastAsia"/>
          <w:color w:val="000000"/>
          <w:sz w:val="20"/>
          <w:szCs w:val="20"/>
        </w:rPr>
        <w:t>米歇尔舍瓦利耶，热拉尔德玛扎罗夫，</w:t>
      </w:r>
      <w:r>
        <w:rPr>
          <w:color w:val="000000"/>
          <w:sz w:val="20"/>
          <w:szCs w:val="20"/>
        </w:rPr>
        <w:t>[</w:t>
      </w:r>
      <w:r>
        <w:rPr>
          <w:rFonts w:hint="eastAsia"/>
          <w:color w:val="000000"/>
          <w:sz w:val="20"/>
          <w:szCs w:val="20"/>
        </w:rPr>
        <w:t>中</w:t>
      </w:r>
      <w:r>
        <w:rPr>
          <w:color w:val="000000"/>
          <w:sz w:val="20"/>
          <w:szCs w:val="20"/>
        </w:rPr>
        <w:t>]</w:t>
      </w:r>
      <w:r>
        <w:rPr>
          <w:rFonts w:hint="eastAsia"/>
          <w:color w:val="000000"/>
          <w:sz w:val="20"/>
          <w:szCs w:val="20"/>
        </w:rPr>
        <w:t>卢晓著，上海人民出版社</w:t>
      </w:r>
      <w:r>
        <w:rPr>
          <w:rFonts w:hint="eastAsia" w:ascii="宋体" w:hAnsi="宋体" w:cs="宋体"/>
          <w:sz w:val="20"/>
          <w:szCs w:val="20"/>
        </w:rPr>
        <w:t>2015.7</w:t>
      </w:r>
      <w:r>
        <w:rPr>
          <w:color w:val="000000"/>
          <w:sz w:val="20"/>
          <w:szCs w:val="20"/>
        </w:rPr>
        <w:t>】</w:t>
      </w:r>
    </w:p>
    <w:p>
      <w:pPr>
        <w:tabs>
          <w:tab w:val="left" w:pos="532"/>
        </w:tabs>
        <w:spacing w:line="340" w:lineRule="exact"/>
        <w:ind w:firstLine="400" w:firstLineChars="200"/>
        <w:rPr>
          <w:rFonts w:ascii="宋体" w:hAnsi="宋体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《世界奢华珠宝》马家叙编著，上海科学技术出版社</w:t>
      </w:r>
      <w:r>
        <w:rPr>
          <w:rFonts w:hint="eastAsia" w:ascii="宋体" w:hAnsi="宋体" w:cs="宋体"/>
          <w:sz w:val="20"/>
          <w:szCs w:val="20"/>
        </w:rPr>
        <w:t>2014.8</w:t>
      </w:r>
      <w:r>
        <w:rPr>
          <w:color w:val="000000"/>
          <w:sz w:val="20"/>
          <w:szCs w:val="20"/>
        </w:rPr>
        <w:t>】</w:t>
      </w:r>
    </w:p>
    <w:p>
      <w:pPr>
        <w:tabs>
          <w:tab w:val="left" w:pos="532"/>
        </w:tabs>
        <w:spacing w:line="340" w:lineRule="exact"/>
        <w:ind w:firstLine="420" w:firstLineChars="200"/>
        <w:rPr>
          <w:rFonts w:ascii="宋体" w:hAnsi="宋体"/>
          <w:kern w:val="0"/>
          <w:szCs w:val="21"/>
        </w:rPr>
      </w:pP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Cs/>
          <w:color w:val="000000"/>
          <w:sz w:val="20"/>
          <w:szCs w:val="20"/>
        </w:rPr>
        <w:t>https://www.icourse163.org/course/ZSTU-1002534016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Lines="50" w:afterLines="50" w:line="288" w:lineRule="auto"/>
        <w:ind w:firstLine="304" w:firstLineChars="145"/>
        <w:rPr>
          <w:b/>
          <w:color w:val="000000"/>
          <w:szCs w:val="20"/>
        </w:rPr>
      </w:pPr>
      <w:r>
        <w:rPr>
          <w:rFonts w:ascii="黑体" w:hAnsi="宋体" w:eastAsia="黑体"/>
        </w:rPr>
        <w:t>二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课程简介</w:t>
      </w:r>
    </w:p>
    <w:p>
      <w:pPr>
        <w:ind w:firstLine="348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课程为专业基础课程，主要介绍世界知名的珠宝饰品品牌，如卡地亚，蒂芙尼，梵克雅宝等等，通过展示他们的历史发展、设计演变、市场营销、消费者心理、品牌管理、及广告展示艺术等方面，带领学生走入珠宝品牌，探索品牌的奥秘，从不同时期的流行元素，到品牌的产品特色，从消费者的生活方式，到品牌的广告、营销策略，培养学生对珠宝设计的鉴赏洞察力，对品牌深刻的理解能力，唤醒内心深处的诗意追求，激发想象力与创造力，并提高总体审美品位。</w:t>
      </w:r>
    </w:p>
    <w:p>
      <w:pPr>
        <w:ind w:firstLine="348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次课程将结合真实案例和图片视频资料，通过授课，个人论文及小组展示的方法，指导学生对不同品牌的首饰风格进行收集和分析，组内合作和交流，进而探索珠宝品牌的内在，并在课上与其余学生分享，共同探讨。具有合作性、科普性、启发性的特色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pacing w:beforeLines="50" w:afterLines="50" w:line="288" w:lineRule="auto"/>
        <w:ind w:firstLine="315" w:firstLineChars="150"/>
        <w:rPr>
          <w:rFonts w:ascii="黑体" w:hAnsi="宋体" w:eastAsia="黑体"/>
        </w:rPr>
      </w:pPr>
      <w:r>
        <w:rPr>
          <w:rFonts w:ascii="黑体" w:hAnsi="宋体" w:eastAsia="黑体"/>
        </w:rPr>
        <w:t>三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选课建议</w:t>
      </w:r>
    </w:p>
    <w:p>
      <w:pPr>
        <w:ind w:firstLine="360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本课程要求学生应具备基础的设计艺术知识和审美修养。适合</w:t>
      </w:r>
      <w:r>
        <w:rPr>
          <w:rFonts w:hint="eastAsia" w:ascii="宋体" w:hAnsi="宋体" w:cs="宋体"/>
          <w:sz w:val="20"/>
          <w:szCs w:val="20"/>
          <w:lang w:eastAsia="zh-CN"/>
        </w:rPr>
        <w:t>产品设计（珠宝首饰设计）</w:t>
      </w:r>
      <w:r>
        <w:rPr>
          <w:rFonts w:hint="eastAsia" w:ascii="宋体" w:hAnsi="宋体" w:cs="宋体"/>
          <w:sz w:val="20"/>
          <w:szCs w:val="20"/>
        </w:rPr>
        <w:t>系本科学生在大一上学期开设。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  <w:bookmarkStart w:id="3" w:name="_GoBack"/>
      <w:bookmarkEnd w:id="3"/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pacing w:beforeLines="50" w:afterLines="50" w:line="288" w:lineRule="auto"/>
        <w:ind w:firstLine="315" w:firstLineChars="150"/>
        <w:rPr>
          <w:rFonts w:ascii="黑体" w:hAnsi="宋体" w:eastAsia="黑体"/>
        </w:rPr>
      </w:pPr>
      <w:r>
        <w:rPr>
          <w:rFonts w:ascii="黑体" w:hAnsi="宋体" w:eastAsia="黑体"/>
        </w:rPr>
        <w:t>四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课程与</w:t>
      </w:r>
      <w:r>
        <w:rPr>
          <w:rFonts w:hint="eastAsia" w:ascii="黑体" w:hAnsi="宋体" w:eastAsia="黑体"/>
        </w:rPr>
        <w:t>专业毕业要求</w:t>
      </w:r>
      <w:r>
        <w:rPr>
          <w:rFonts w:ascii="黑体" w:hAnsi="宋体" w:eastAsia="黑体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8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946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8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专业毕业要求</w:t>
            </w:r>
          </w:p>
        </w:tc>
        <w:tc>
          <w:tcPr>
            <w:tcW w:w="639" w:type="dxa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72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</w:t>
            </w:r>
            <w:r>
              <w:rPr>
                <w:rFonts w:hint="eastAsia" w:ascii="宋体" w:hAnsi="宋体" w:cs="宋体"/>
                <w:sz w:val="20"/>
                <w:szCs w:val="20"/>
              </w:rPr>
              <w:t>11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LO111：倾听他人意见、尊重他人观点、分析他人需求。</w:t>
            </w:r>
          </w:p>
        </w:tc>
        <w:tc>
          <w:tcPr>
            <w:tcW w:w="639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LO112：应用书面或口头形式，阐释自己的观点，有效沟通。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LO21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LO211：学生能根据自身需要和岗位需求，结合社会背景下，新知识、新技术、新工艺、新材料的发展趋势，确定自己的学习目标。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LO212：主动自觉地通过搜集、分析信息、讨论、实践、质疑、创造等方法来实现学习目标。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LO31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LO311：能全面系统地掌握设计与审美的基本理论，并能独立完成对设计作品与艺术作品的赏析。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LO312：具备设计能力与审美素养，能将设计创意与美学规律运用在实践中。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LO32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LO321：掌握珠宝首饰加工工艺的基本理论知识。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LO322：具备珠宝首饰金属加工制作的技能。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LO323：掌握珠宝玉石和多种首饰材料的特质和加工特点，进行个人作品的设计与制作。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LO33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LO331：掌握珠宝玉石材料的性质与用途。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2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LO332：掌握珠宝鉴定的基本理论知识。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LO333：具备珠宝玉石材料的识别鉴定能力。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LO34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LO341：掌握珠宝首饰设计的基本原理和基本方法，具备较强的珠宝首饰设计手绘能力，能灵活运用多种方法进行设计创意的手绘表现。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LO342:</w:t>
            </w:r>
            <w:r>
              <w:rPr>
                <w:rFonts w:hint="eastAsia" w:ascii="宋体" w:hAnsi="宋体" w:cs="宋体"/>
                <w:sz w:val="20"/>
                <w:szCs w:val="20"/>
              </w:rPr>
              <w:t>具备较强的珠宝首饰设计电绘能力，能通过软件将设计意图进行精确表达。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LO343:</w:t>
            </w:r>
            <w:r>
              <w:rPr>
                <w:rFonts w:hint="eastAsia" w:ascii="宋体" w:hAnsi="宋体" w:cs="宋体"/>
                <w:sz w:val="20"/>
                <w:szCs w:val="20"/>
              </w:rPr>
              <w:t>能综合运用珠宝首饰设计的基本原理与方法进行首饰创作，灵活运用手绘或电绘的方式进行设计创意的精确表达，并完成实物的制作。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LO35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LO351:</w:t>
            </w:r>
            <w:r>
              <w:rPr>
                <w:rFonts w:hint="eastAsia" w:ascii="宋体" w:hAnsi="宋体" w:cs="宋体"/>
                <w:sz w:val="20"/>
                <w:szCs w:val="20"/>
              </w:rPr>
              <w:t>掌握珠宝首饰的展示与陈列的基本原理与方法，具备参与策展、布展的能力。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LO352:</w:t>
            </w:r>
            <w:r>
              <w:rPr>
                <w:rFonts w:hint="eastAsia" w:ascii="宋体" w:hAnsi="宋体" w:cs="宋体"/>
                <w:sz w:val="20"/>
                <w:szCs w:val="20"/>
              </w:rPr>
              <w:t>掌握珠宝广告与包装的基本原理与方法，具备珠宝广告策划及商业推广的能力。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LO41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LO411:</w:t>
            </w:r>
            <w:r>
              <w:rPr>
                <w:rFonts w:hint="eastAsia" w:ascii="宋体" w:hAnsi="宋体" w:cs="宋体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LO412:</w:t>
            </w:r>
            <w:r>
              <w:rPr>
                <w:rFonts w:hint="eastAsia" w:ascii="宋体" w:hAnsi="宋体" w:cs="宋体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LO413:</w:t>
            </w:r>
            <w:r>
              <w:rPr>
                <w:rFonts w:hint="eastAsia" w:ascii="宋体" w:hAnsi="宋体" w:cs="宋体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LO414:</w:t>
            </w:r>
            <w:r>
              <w:rPr>
                <w:rFonts w:hint="eastAsia" w:ascii="宋体" w:hAnsi="宋体" w:cs="宋体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LO51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LO511:</w:t>
            </w:r>
            <w:r>
              <w:rPr>
                <w:rFonts w:hint="eastAsia" w:ascii="宋体" w:hAnsi="宋体" w:cs="宋体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LO512:</w:t>
            </w:r>
            <w:r>
              <w:rPr>
                <w:rFonts w:hint="eastAsia" w:ascii="宋体" w:hAnsi="宋体" w:cs="宋体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LO513:</w:t>
            </w:r>
            <w:r>
              <w:rPr>
                <w:rFonts w:hint="eastAsia" w:ascii="宋体" w:hAnsi="宋体" w:cs="宋体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LO514:</w:t>
            </w:r>
            <w:r>
              <w:rPr>
                <w:rFonts w:hint="eastAsia" w:ascii="宋体" w:hAnsi="宋体" w:cs="宋体"/>
                <w:sz w:val="20"/>
                <w:szCs w:val="20"/>
              </w:rPr>
              <w:t>了解行业前沿知识技术。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LO61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LO611:</w:t>
            </w:r>
            <w:r>
              <w:rPr>
                <w:rFonts w:hint="eastAsia" w:ascii="宋体" w:hAnsi="宋体" w:cs="宋体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LO612:</w:t>
            </w:r>
            <w:r>
              <w:rPr>
                <w:rFonts w:hint="eastAsia" w:ascii="宋体" w:hAnsi="宋体" w:cs="宋体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LO613:</w:t>
            </w:r>
            <w:r>
              <w:rPr>
                <w:rFonts w:hint="eastAsia" w:ascii="宋体" w:hAnsi="宋体" w:cs="宋体"/>
                <w:sz w:val="20"/>
                <w:szCs w:val="20"/>
              </w:rPr>
              <w:t>熟练使用计算机，掌握常用办公软件和图像、图形处理软件。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LO71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LO711:</w:t>
            </w:r>
            <w:r>
              <w:rPr>
                <w:rFonts w:hint="eastAsia" w:ascii="宋体" w:hAnsi="宋体" w:cs="宋体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LO712:</w:t>
            </w:r>
            <w:r>
              <w:rPr>
                <w:rFonts w:hint="eastAsia" w:ascii="宋体" w:hAnsi="宋体" w:cs="宋体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LO713:</w:t>
            </w:r>
            <w:r>
              <w:rPr>
                <w:rFonts w:hint="eastAsia" w:ascii="宋体" w:hAnsi="宋体" w:cs="宋体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LO714:</w:t>
            </w:r>
            <w:r>
              <w:rPr>
                <w:rFonts w:hint="eastAsia" w:ascii="宋体" w:hAnsi="宋体" w:cs="宋体"/>
                <w:sz w:val="20"/>
                <w:szCs w:val="20"/>
              </w:rPr>
              <w:t>爱护环境：具有爱护环境的意识和与自然和谐相处的环保理念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LO81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LO811:</w:t>
            </w:r>
            <w:r>
              <w:rPr>
                <w:rFonts w:hint="eastAsia" w:ascii="宋体" w:hAnsi="宋体" w:cs="宋体"/>
                <w:sz w:val="20"/>
                <w:szCs w:val="20"/>
              </w:rPr>
              <w:t>具备外语表达沟通能力，能够阅读外文专业图书和资料。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LO812:</w:t>
            </w:r>
            <w:r>
              <w:rPr>
                <w:rFonts w:hint="eastAsia" w:ascii="宋体" w:hAnsi="宋体" w:cs="宋体"/>
                <w:sz w:val="20"/>
                <w:szCs w:val="20"/>
              </w:rPr>
              <w:t>对专业范围中跨文化的设计具有理解能力。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LO813:</w:t>
            </w:r>
            <w:r>
              <w:rPr>
                <w:rFonts w:hint="eastAsia" w:ascii="宋体" w:hAnsi="宋体" w:cs="宋体"/>
                <w:sz w:val="20"/>
                <w:szCs w:val="20"/>
              </w:rPr>
              <w:t>有国际竞争与合作意识。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spacing w:beforeLines="50" w:afterLines="50" w:line="288" w:lineRule="auto"/>
        <w:ind w:firstLine="315" w:firstLineChars="15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</w:t>
      </w:r>
      <w:r>
        <w:rPr>
          <w:rFonts w:ascii="黑体" w:hAnsi="宋体" w:eastAsia="黑体"/>
        </w:rPr>
        <w:t>课程</w:t>
      </w:r>
      <w:r>
        <w:rPr>
          <w:rFonts w:hint="eastAsia" w:ascii="黑体" w:hAnsi="宋体" w:eastAsia="黑体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LO212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1.能够自觉搜集分析珠宝品牌信息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教师授课与小组自主学习相结合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2．能够实现学习目标，运用分析、讨论、质疑的方法完成练习</w:t>
            </w:r>
          </w:p>
        </w:tc>
        <w:tc>
          <w:tcPr>
            <w:tcW w:w="21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能够概述设计与审美的基本理论，并能独立完成对设计作品与品牌广告作品的赏析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教师授课与个人自主学习相结合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LO712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能够与他人合作完成任务，互帮互助，懂得感恩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小组自主学习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小组展示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</w:rPr>
      </w:pPr>
    </w:p>
    <w:p>
      <w:pPr>
        <w:spacing w:beforeLines="50" w:afterLines="50" w:line="288" w:lineRule="auto"/>
        <w:ind w:firstLine="315" w:firstLineChars="15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六、</w:t>
      </w:r>
      <w:r>
        <w:rPr>
          <w:rFonts w:ascii="黑体" w:hAnsi="宋体" w:eastAsia="黑体"/>
        </w:rPr>
        <w:t>课程内容</w:t>
      </w:r>
    </w:p>
    <w:p>
      <w:pPr>
        <w:snapToGrid w:val="0"/>
        <w:spacing w:line="288" w:lineRule="auto"/>
        <w:ind w:firstLine="402" w:firstLineChars="200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本课程总课时：32学时，均为理论课时（含讨论，展示，评价）</w:t>
      </w:r>
    </w:p>
    <w:tbl>
      <w:tblPr>
        <w:tblStyle w:val="4"/>
        <w:tblW w:w="0" w:type="auto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497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知识点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能力要求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495" w:type="dxa"/>
            <w:shd w:val="clear" w:color="auto" w:fill="auto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单元一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品牌的基本概念（4个理论课时）</w:t>
            </w:r>
          </w:p>
        </w:tc>
        <w:tc>
          <w:tcPr>
            <w:tcW w:w="2497" w:type="dxa"/>
            <w:shd w:val="clear" w:color="auto" w:fill="auto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了解品牌的定义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理解品牌符号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理解品牌意义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分析品牌的生命周期模型</w:t>
            </w:r>
            <w:r>
              <w:rPr>
                <w:bCs/>
                <w:sz w:val="20"/>
                <w:szCs w:val="20"/>
              </w:rPr>
              <w:t>L4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理解卡普菲勒的品牌识别棱镜模型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9"/>
              <w:snapToGrid w:val="0"/>
              <w:spacing w:line="288" w:lineRule="auto"/>
              <w:ind w:left="360" w:firstLine="0" w:firstLineChars="0"/>
              <w:rPr>
                <w:bCs/>
                <w:sz w:val="20"/>
                <w:szCs w:val="20"/>
              </w:rPr>
            </w:pPr>
          </w:p>
          <w:p>
            <w:pPr>
              <w:pStyle w:val="9"/>
              <w:snapToGrid w:val="0"/>
              <w:spacing w:line="288" w:lineRule="auto"/>
              <w:ind w:left="360" w:firstLine="0" w:firstLineChars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1.能够了解品牌的基本概念及特征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2.能够理解品牌的符号和品牌价值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 能够运用品牌定位过程进行小组品牌定位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1.品牌的意义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2.品牌生命周期模型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单元二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中国珠宝品牌及消费者（4个理论课时）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理解珠宝消费者特征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运用品牌定位过程</w:t>
            </w:r>
            <w:r>
              <w:rPr>
                <w:bCs/>
                <w:sz w:val="20"/>
                <w:szCs w:val="20"/>
              </w:rPr>
              <w:t>L3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运用四种传播方式类型</w:t>
            </w:r>
            <w:r>
              <w:rPr>
                <w:bCs/>
                <w:sz w:val="20"/>
                <w:szCs w:val="20"/>
              </w:rPr>
              <w:t>L3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分析中国珠宝品牌特点</w:t>
            </w:r>
            <w:r>
              <w:rPr>
                <w:bCs/>
                <w:sz w:val="20"/>
                <w:szCs w:val="20"/>
              </w:rPr>
              <w:t>L5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1.能够分析品牌消费者的特点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2.能够了解不同品牌的品牌定位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1.千禧一代消费者的特征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2.中国珠宝品牌的发展历程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单元三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法国珠宝品牌（4个理论课时）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bookmarkStart w:id="1" w:name="OLE_LINK2"/>
            <w:bookmarkStart w:id="2" w:name="OLE_LINK1"/>
            <w:r>
              <w:rPr>
                <w:rFonts w:hint="eastAsia"/>
                <w:bCs/>
                <w:sz w:val="20"/>
                <w:szCs w:val="20"/>
              </w:rPr>
              <w:t>分析法国奢侈品的起源</w:t>
            </w:r>
            <w:r>
              <w:rPr>
                <w:bCs/>
                <w:sz w:val="20"/>
                <w:szCs w:val="20"/>
              </w:rPr>
              <w:t>L4</w:t>
            </w:r>
          </w:p>
          <w:p>
            <w:pPr>
              <w:pStyle w:val="9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理解卡地亚“皇帝的珠宝商”广告语由来几卡地亚猎豹标志含义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9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理解梵克雅宝及其隐秘镶的镶嵌方式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  <w:p>
            <w:pPr>
              <w:pStyle w:val="9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了解尚美巴黎、宝诗龙的品牌历史及设计风格</w:t>
            </w:r>
            <w:bookmarkEnd w:id="1"/>
            <w:bookmarkEnd w:id="2"/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9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理解法国珠宝品牌的广告与展示策略</w:t>
            </w:r>
            <w:r>
              <w:rPr>
                <w:bCs/>
                <w:sz w:val="20"/>
                <w:szCs w:val="20"/>
              </w:rPr>
              <w:t>L2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能够理解宝石的镶嵌方法</w:t>
            </w:r>
          </w:p>
          <w:p>
            <w:pPr>
              <w:pStyle w:val="9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能够理解当时法国珠宝品牌兴起的环境和市场因素</w:t>
            </w:r>
          </w:p>
          <w:p>
            <w:pPr>
              <w:pStyle w:val="9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能够理解法国珠宝品牌的广告战略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法国珠宝品牌崛起原因</w:t>
            </w:r>
          </w:p>
          <w:p>
            <w:pPr>
              <w:pStyle w:val="9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镶嵌方法种类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单元四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意大利珠宝品牌（4个理论课时）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理解意大利奢侈品的起源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9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理解包镶的镶嵌方式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9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分析文艺复兴时期的首饰风格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  <w:p>
            <w:pPr>
              <w:pStyle w:val="9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了解雕金工艺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9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了解意大利珠宝品牌的广告及展示特点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能够对文艺复兴的首饰风格进行描述和评论</w:t>
            </w:r>
          </w:p>
          <w:p>
            <w:pPr>
              <w:pStyle w:val="9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能概述包镶的镶嵌方法和雕金工艺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文艺复兴的首饰风格</w:t>
            </w:r>
          </w:p>
          <w:p>
            <w:pPr>
              <w:pStyle w:val="9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织纹雕金工艺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单元五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美国珠宝品牌（4个理论课时）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了解美国奢侈品的起源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9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理解蒂凡尼的营销策略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9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理解海瑞温斯顿的品牌历史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9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分析蒂凡尼的橱窗展示特点</w:t>
            </w:r>
            <w:r>
              <w:rPr>
                <w:bCs/>
                <w:sz w:val="20"/>
                <w:szCs w:val="20"/>
              </w:rPr>
              <w:t>L4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能够了解美国珠宝企业的起源</w:t>
            </w:r>
          </w:p>
          <w:p>
            <w:pPr>
              <w:pStyle w:val="9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能够概述蒂凡尼的营销策略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蒂凡尼的营销策略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首饰题材的选择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单元六其他地区珠宝品牌（4个理论课时）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了解“钻石恒久远”广告语的来源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9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了解珍珠之王的艰辛成功之路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能够了解戴比尔斯，御木本的品牌特征及历史来源</w:t>
            </w:r>
          </w:p>
          <w:p>
            <w:pPr>
              <w:pStyle w:val="9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能够理解史登的认知旅游营销模式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品牌的产品设计及管理模式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单元七其他奢侈品牌的珠宝产品（2个理论课时）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13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了解巴洛克拜占庭式风格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9"/>
              <w:numPr>
                <w:ilvl w:val="0"/>
                <w:numId w:val="13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了解珠宝产品对时尚奢侈品品牌的作用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能够理解香奈儿的品牌特征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珠宝线产品的作用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单元八小组课题讨论及展示（6个理论课时）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比较中外珠宝品牌区别</w:t>
            </w:r>
            <w:r>
              <w:rPr>
                <w:bCs/>
                <w:sz w:val="20"/>
                <w:szCs w:val="20"/>
              </w:rPr>
              <w:t>L5</w:t>
            </w:r>
          </w:p>
          <w:p>
            <w:pPr>
              <w:pStyle w:val="9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分析中国珠宝品牌的</w:t>
            </w:r>
            <w:r>
              <w:rPr>
                <w:bCs/>
                <w:sz w:val="20"/>
                <w:szCs w:val="20"/>
              </w:rPr>
              <w:t>SWOT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能够评价中国珠宝品牌现状及发展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能够针对目前珠宝品牌的不足，创立可行的珠宝品牌填补空白</w:t>
            </w:r>
          </w:p>
        </w:tc>
      </w:tr>
    </w:tbl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right="2520" w:firstLine="420" w:firstLineChars="200"/>
        <w:rPr>
          <w:sz w:val="20"/>
          <w:szCs w:val="20"/>
        </w:rPr>
      </w:pPr>
      <w:r>
        <w:rPr>
          <w:rFonts w:hint="eastAsia" w:ascii="黑体" w:hAnsi="宋体" w:eastAsia="黑体"/>
        </w:rPr>
        <w:t>七、评价方式与成绩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小组品牌策划书（</w:t>
            </w:r>
            <w:r>
              <w:rPr>
                <w:rFonts w:hint="eastAsia" w:ascii="宋体" w:hAnsi="宋体" w:cs="宋体"/>
                <w:sz w:val="20"/>
                <w:szCs w:val="20"/>
              </w:rPr>
              <w:t>以小组为单位收集分析现有中国珠宝品牌相关信息，模拟创立新品牌，策划品牌理念，品牌定位，并针对该理念及定位制定设计风格，营销方式</w:t>
            </w:r>
            <w:r>
              <w:rPr>
                <w:rFonts w:ascii="宋体" w:hAnsi="宋体" w:cs="宋体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广告及展示策略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spacing w:beforeLines="50" w:afterLines="50" w:line="288" w:lineRule="auto"/>
        <w:rPr>
          <w:rFonts w:ascii="黑体" w:hAnsi="宋体" w:eastAsia="黑体"/>
        </w:rPr>
      </w:pPr>
    </w:p>
    <w:p>
      <w:pPr>
        <w:spacing w:beforeLines="50" w:afterLines="50" w:line="288" w:lineRule="auto"/>
        <w:rPr>
          <w:rFonts w:ascii="宋体" w:hAnsi="宋体"/>
          <w:bCs/>
          <w:color w:val="000000"/>
          <w:szCs w:val="20"/>
        </w:rPr>
      </w:pPr>
    </w:p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撰写人：陆惠雯系主任审核签名：王琼</w:t>
      </w:r>
    </w:p>
    <w:p>
      <w:r>
        <w:rPr>
          <w:rFonts w:hint="eastAsia"/>
          <w:sz w:val="28"/>
          <w:szCs w:val="28"/>
        </w:rPr>
        <w:t>审核时间：2019年9月1日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13313" o:spid="_x0000_s13313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jc w:val="left"/>
                  <w:rPr>
                    <w:rFonts w:ascii="宋体" w:hAnsi="宋体"/>
                    <w:spacing w:val="20"/>
                    <w:sz w:val="24"/>
                    <w:szCs w:val="24"/>
                  </w:rPr>
                </w:pPr>
                <w:r>
                  <w:rPr>
                    <w:rFonts w:hint="eastAsia" w:ascii="宋体" w:hAnsi="宋体"/>
                    <w:spacing w:val="20"/>
                    <w:sz w:val="24"/>
                    <w:szCs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Q</w:t>
                </w:r>
                <w:r>
                  <w:rPr>
                    <w:rFonts w:hint="eastAsia" w:ascii="宋体" w:hAnsi="宋体"/>
                    <w:spacing w:val="20"/>
                    <w:sz w:val="24"/>
                    <w:szCs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0</w:t>
                </w:r>
                <w:r>
                  <w:rPr>
                    <w:rFonts w:hint="eastAsia" w:ascii="宋体" w:hAnsi="宋体"/>
                    <w:spacing w:val="20"/>
                    <w:sz w:val="24"/>
                    <w:szCs w:val="24"/>
                  </w:rPr>
                  <w:t>33（A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0）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B80"/>
    <w:multiLevelType w:val="multilevel"/>
    <w:tmpl w:val="1A782B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2D775A"/>
    <w:multiLevelType w:val="multilevel"/>
    <w:tmpl w:val="1D2D77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666161"/>
    <w:multiLevelType w:val="multilevel"/>
    <w:tmpl w:val="226661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351730"/>
    <w:multiLevelType w:val="multilevel"/>
    <w:tmpl w:val="293517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CF2C66"/>
    <w:multiLevelType w:val="multilevel"/>
    <w:tmpl w:val="2DCF2C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2367FF"/>
    <w:multiLevelType w:val="multilevel"/>
    <w:tmpl w:val="302367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ED545A"/>
    <w:multiLevelType w:val="multilevel"/>
    <w:tmpl w:val="3AED54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0079A3"/>
    <w:multiLevelType w:val="multilevel"/>
    <w:tmpl w:val="3D0079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6A6D6B"/>
    <w:multiLevelType w:val="multilevel"/>
    <w:tmpl w:val="406A6D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127F17"/>
    <w:multiLevelType w:val="multilevel"/>
    <w:tmpl w:val="45127F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0574F7"/>
    <w:multiLevelType w:val="multilevel"/>
    <w:tmpl w:val="460574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FC5007"/>
    <w:multiLevelType w:val="multilevel"/>
    <w:tmpl w:val="59FC50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C04F1A"/>
    <w:multiLevelType w:val="multilevel"/>
    <w:tmpl w:val="5AC04F1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 w:ascii="Times New Roman" w:hAnsi="Times New Roman" w:eastAsiaTheme="minor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0D147B"/>
    <w:multiLevelType w:val="multilevel"/>
    <w:tmpl w:val="640D14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11228"/>
    <w:rsid w:val="00016B75"/>
    <w:rsid w:val="0002289E"/>
    <w:rsid w:val="000230E0"/>
    <w:rsid w:val="00023EF4"/>
    <w:rsid w:val="000349FF"/>
    <w:rsid w:val="000501AD"/>
    <w:rsid w:val="0006674B"/>
    <w:rsid w:val="000670F8"/>
    <w:rsid w:val="00075A4B"/>
    <w:rsid w:val="0008206F"/>
    <w:rsid w:val="00086167"/>
    <w:rsid w:val="00093A70"/>
    <w:rsid w:val="000B0109"/>
    <w:rsid w:val="000B52E9"/>
    <w:rsid w:val="000C7008"/>
    <w:rsid w:val="000D5403"/>
    <w:rsid w:val="001072BC"/>
    <w:rsid w:val="00121C24"/>
    <w:rsid w:val="0013757A"/>
    <w:rsid w:val="0014096B"/>
    <w:rsid w:val="00151BFE"/>
    <w:rsid w:val="00174DD5"/>
    <w:rsid w:val="001777E7"/>
    <w:rsid w:val="001821F9"/>
    <w:rsid w:val="001A35A9"/>
    <w:rsid w:val="001A73C3"/>
    <w:rsid w:val="001B1169"/>
    <w:rsid w:val="001C29AC"/>
    <w:rsid w:val="001C3369"/>
    <w:rsid w:val="001E37A4"/>
    <w:rsid w:val="001F24C4"/>
    <w:rsid w:val="001F2891"/>
    <w:rsid w:val="001F7A57"/>
    <w:rsid w:val="00203856"/>
    <w:rsid w:val="00221263"/>
    <w:rsid w:val="00240F9B"/>
    <w:rsid w:val="002473AC"/>
    <w:rsid w:val="00256B39"/>
    <w:rsid w:val="0026033C"/>
    <w:rsid w:val="002745D6"/>
    <w:rsid w:val="00282880"/>
    <w:rsid w:val="00290A79"/>
    <w:rsid w:val="00297238"/>
    <w:rsid w:val="002A4575"/>
    <w:rsid w:val="002B1D41"/>
    <w:rsid w:val="002B74C1"/>
    <w:rsid w:val="002C0784"/>
    <w:rsid w:val="002D72D8"/>
    <w:rsid w:val="002E3721"/>
    <w:rsid w:val="003041E8"/>
    <w:rsid w:val="00307FFB"/>
    <w:rsid w:val="00310DA5"/>
    <w:rsid w:val="00313BBA"/>
    <w:rsid w:val="0032602E"/>
    <w:rsid w:val="003367AE"/>
    <w:rsid w:val="00357F9A"/>
    <w:rsid w:val="00372B31"/>
    <w:rsid w:val="003A3C45"/>
    <w:rsid w:val="003B1258"/>
    <w:rsid w:val="003B246C"/>
    <w:rsid w:val="003B2A96"/>
    <w:rsid w:val="003B307A"/>
    <w:rsid w:val="003B638F"/>
    <w:rsid w:val="003D330D"/>
    <w:rsid w:val="003D6BA4"/>
    <w:rsid w:val="003D7410"/>
    <w:rsid w:val="00403BAC"/>
    <w:rsid w:val="00406B4A"/>
    <w:rsid w:val="004100B0"/>
    <w:rsid w:val="0041349C"/>
    <w:rsid w:val="0041358A"/>
    <w:rsid w:val="00425D33"/>
    <w:rsid w:val="00441828"/>
    <w:rsid w:val="00443204"/>
    <w:rsid w:val="00447EF4"/>
    <w:rsid w:val="00463BBA"/>
    <w:rsid w:val="00463EE3"/>
    <w:rsid w:val="00467B6C"/>
    <w:rsid w:val="00476729"/>
    <w:rsid w:val="004910E5"/>
    <w:rsid w:val="00497382"/>
    <w:rsid w:val="004979D3"/>
    <w:rsid w:val="004A01EF"/>
    <w:rsid w:val="004A4F10"/>
    <w:rsid w:val="004A6A14"/>
    <w:rsid w:val="004C352E"/>
    <w:rsid w:val="004D1C89"/>
    <w:rsid w:val="004D5651"/>
    <w:rsid w:val="004D6683"/>
    <w:rsid w:val="004E1124"/>
    <w:rsid w:val="004F3383"/>
    <w:rsid w:val="00502921"/>
    <w:rsid w:val="00513984"/>
    <w:rsid w:val="00513DD0"/>
    <w:rsid w:val="00520B3B"/>
    <w:rsid w:val="00536EE0"/>
    <w:rsid w:val="00540590"/>
    <w:rsid w:val="005467DC"/>
    <w:rsid w:val="00553D03"/>
    <w:rsid w:val="00555067"/>
    <w:rsid w:val="00583A15"/>
    <w:rsid w:val="0058628E"/>
    <w:rsid w:val="005A23D5"/>
    <w:rsid w:val="005B2B6D"/>
    <w:rsid w:val="005B4B4E"/>
    <w:rsid w:val="005C30BF"/>
    <w:rsid w:val="005D44CC"/>
    <w:rsid w:val="005F5D72"/>
    <w:rsid w:val="006002ED"/>
    <w:rsid w:val="0060252F"/>
    <w:rsid w:val="006039E6"/>
    <w:rsid w:val="00611BFA"/>
    <w:rsid w:val="00624FE1"/>
    <w:rsid w:val="00634BA0"/>
    <w:rsid w:val="00635020"/>
    <w:rsid w:val="00640B67"/>
    <w:rsid w:val="00653A14"/>
    <w:rsid w:val="00655368"/>
    <w:rsid w:val="006637F9"/>
    <w:rsid w:val="006740DE"/>
    <w:rsid w:val="00694374"/>
    <w:rsid w:val="006A41A3"/>
    <w:rsid w:val="006B0CD4"/>
    <w:rsid w:val="006B1C43"/>
    <w:rsid w:val="006B4583"/>
    <w:rsid w:val="006B57A9"/>
    <w:rsid w:val="006D1D99"/>
    <w:rsid w:val="006D5B3F"/>
    <w:rsid w:val="006D6F48"/>
    <w:rsid w:val="006E5003"/>
    <w:rsid w:val="007106AA"/>
    <w:rsid w:val="007208D6"/>
    <w:rsid w:val="007353F4"/>
    <w:rsid w:val="00757CBC"/>
    <w:rsid w:val="00761EE2"/>
    <w:rsid w:val="00790B5B"/>
    <w:rsid w:val="007A38EE"/>
    <w:rsid w:val="007B27E4"/>
    <w:rsid w:val="007B4732"/>
    <w:rsid w:val="007D5ECE"/>
    <w:rsid w:val="0080613A"/>
    <w:rsid w:val="008107CD"/>
    <w:rsid w:val="0081765F"/>
    <w:rsid w:val="0082082F"/>
    <w:rsid w:val="00822BEA"/>
    <w:rsid w:val="00836721"/>
    <w:rsid w:val="00840BB4"/>
    <w:rsid w:val="00840C92"/>
    <w:rsid w:val="00853BF7"/>
    <w:rsid w:val="008B0953"/>
    <w:rsid w:val="008B3607"/>
    <w:rsid w:val="008B397C"/>
    <w:rsid w:val="008B47F4"/>
    <w:rsid w:val="008B5518"/>
    <w:rsid w:val="008C2D73"/>
    <w:rsid w:val="008F11BB"/>
    <w:rsid w:val="008F25D8"/>
    <w:rsid w:val="008F586F"/>
    <w:rsid w:val="008F6237"/>
    <w:rsid w:val="00900019"/>
    <w:rsid w:val="009000B6"/>
    <w:rsid w:val="009142AD"/>
    <w:rsid w:val="009220C8"/>
    <w:rsid w:val="009239DB"/>
    <w:rsid w:val="009336A7"/>
    <w:rsid w:val="00941309"/>
    <w:rsid w:val="00946FA9"/>
    <w:rsid w:val="00947B88"/>
    <w:rsid w:val="00947F2E"/>
    <w:rsid w:val="00955915"/>
    <w:rsid w:val="00961B33"/>
    <w:rsid w:val="009747F7"/>
    <w:rsid w:val="0099063E"/>
    <w:rsid w:val="009C539A"/>
    <w:rsid w:val="009C6389"/>
    <w:rsid w:val="009F3183"/>
    <w:rsid w:val="00A034CB"/>
    <w:rsid w:val="00A17B44"/>
    <w:rsid w:val="00A44345"/>
    <w:rsid w:val="00A47D68"/>
    <w:rsid w:val="00A50174"/>
    <w:rsid w:val="00A561E3"/>
    <w:rsid w:val="00A574F0"/>
    <w:rsid w:val="00A65082"/>
    <w:rsid w:val="00A65C12"/>
    <w:rsid w:val="00A769B1"/>
    <w:rsid w:val="00A843A3"/>
    <w:rsid w:val="00A95522"/>
    <w:rsid w:val="00A971FD"/>
    <w:rsid w:val="00AA776B"/>
    <w:rsid w:val="00AC4C45"/>
    <w:rsid w:val="00AD6FD2"/>
    <w:rsid w:val="00AE6F9E"/>
    <w:rsid w:val="00AF315E"/>
    <w:rsid w:val="00AF4DB5"/>
    <w:rsid w:val="00AF5DB6"/>
    <w:rsid w:val="00B02EB8"/>
    <w:rsid w:val="00B047F5"/>
    <w:rsid w:val="00B26F25"/>
    <w:rsid w:val="00B3070B"/>
    <w:rsid w:val="00B46F21"/>
    <w:rsid w:val="00B511A5"/>
    <w:rsid w:val="00B52EE4"/>
    <w:rsid w:val="00B562BB"/>
    <w:rsid w:val="00B7149D"/>
    <w:rsid w:val="00B71994"/>
    <w:rsid w:val="00B736A7"/>
    <w:rsid w:val="00B7651F"/>
    <w:rsid w:val="00B86761"/>
    <w:rsid w:val="00B9025E"/>
    <w:rsid w:val="00C016C2"/>
    <w:rsid w:val="00C1623A"/>
    <w:rsid w:val="00C24C76"/>
    <w:rsid w:val="00C50CC0"/>
    <w:rsid w:val="00C522AD"/>
    <w:rsid w:val="00C56E09"/>
    <w:rsid w:val="00C64420"/>
    <w:rsid w:val="00C77E72"/>
    <w:rsid w:val="00C85953"/>
    <w:rsid w:val="00C85AAD"/>
    <w:rsid w:val="00C93FE2"/>
    <w:rsid w:val="00C965BB"/>
    <w:rsid w:val="00C97C34"/>
    <w:rsid w:val="00CB1DE3"/>
    <w:rsid w:val="00CB3355"/>
    <w:rsid w:val="00CB5A06"/>
    <w:rsid w:val="00CD35C0"/>
    <w:rsid w:val="00CD50FE"/>
    <w:rsid w:val="00CD5E81"/>
    <w:rsid w:val="00CE1983"/>
    <w:rsid w:val="00CE3D9E"/>
    <w:rsid w:val="00CF096B"/>
    <w:rsid w:val="00D16765"/>
    <w:rsid w:val="00D32368"/>
    <w:rsid w:val="00D33539"/>
    <w:rsid w:val="00D40B43"/>
    <w:rsid w:val="00D41A96"/>
    <w:rsid w:val="00D45E9A"/>
    <w:rsid w:val="00D538E3"/>
    <w:rsid w:val="00D633BC"/>
    <w:rsid w:val="00D64438"/>
    <w:rsid w:val="00D7310A"/>
    <w:rsid w:val="00D92417"/>
    <w:rsid w:val="00DB6147"/>
    <w:rsid w:val="00DD0569"/>
    <w:rsid w:val="00DF0A3E"/>
    <w:rsid w:val="00E06BBE"/>
    <w:rsid w:val="00E16D30"/>
    <w:rsid w:val="00E33169"/>
    <w:rsid w:val="00E3764A"/>
    <w:rsid w:val="00E56853"/>
    <w:rsid w:val="00E70904"/>
    <w:rsid w:val="00E80800"/>
    <w:rsid w:val="00EA4829"/>
    <w:rsid w:val="00EA67E7"/>
    <w:rsid w:val="00EC139A"/>
    <w:rsid w:val="00ED0DB1"/>
    <w:rsid w:val="00ED7278"/>
    <w:rsid w:val="00EF44B1"/>
    <w:rsid w:val="00EF7060"/>
    <w:rsid w:val="00F03774"/>
    <w:rsid w:val="00F03D2C"/>
    <w:rsid w:val="00F053F2"/>
    <w:rsid w:val="00F1652B"/>
    <w:rsid w:val="00F26D9E"/>
    <w:rsid w:val="00F30212"/>
    <w:rsid w:val="00F30EAA"/>
    <w:rsid w:val="00F32E31"/>
    <w:rsid w:val="00F35AA0"/>
    <w:rsid w:val="00F42EED"/>
    <w:rsid w:val="00F60796"/>
    <w:rsid w:val="00F74F35"/>
    <w:rsid w:val="00F86D69"/>
    <w:rsid w:val="00F94312"/>
    <w:rsid w:val="00FA0EC8"/>
    <w:rsid w:val="00FA3735"/>
    <w:rsid w:val="00FA7711"/>
    <w:rsid w:val="00FC7794"/>
    <w:rsid w:val="00FD053A"/>
    <w:rsid w:val="00FE09C1"/>
    <w:rsid w:val="00FE5368"/>
    <w:rsid w:val="00FF34D5"/>
    <w:rsid w:val="024B0C39"/>
    <w:rsid w:val="02C161F4"/>
    <w:rsid w:val="09286546"/>
    <w:rsid w:val="09723488"/>
    <w:rsid w:val="0A025A39"/>
    <w:rsid w:val="0A8128A6"/>
    <w:rsid w:val="0BF32A1B"/>
    <w:rsid w:val="10BD2C22"/>
    <w:rsid w:val="194C0E3B"/>
    <w:rsid w:val="19552BD2"/>
    <w:rsid w:val="1BA36054"/>
    <w:rsid w:val="1CB0698D"/>
    <w:rsid w:val="22987C80"/>
    <w:rsid w:val="24192CCC"/>
    <w:rsid w:val="2B21742C"/>
    <w:rsid w:val="2FB538B2"/>
    <w:rsid w:val="315A6EC8"/>
    <w:rsid w:val="32455A3F"/>
    <w:rsid w:val="39A66CD4"/>
    <w:rsid w:val="3CD52CE1"/>
    <w:rsid w:val="410F2E6A"/>
    <w:rsid w:val="4430136C"/>
    <w:rsid w:val="485571EE"/>
    <w:rsid w:val="4AB0382B"/>
    <w:rsid w:val="4B1E5E6A"/>
    <w:rsid w:val="4C1C51E7"/>
    <w:rsid w:val="4DBC225C"/>
    <w:rsid w:val="569868B5"/>
    <w:rsid w:val="56A71792"/>
    <w:rsid w:val="5F592C0A"/>
    <w:rsid w:val="611F6817"/>
    <w:rsid w:val="66CA1754"/>
    <w:rsid w:val="6A3B2F91"/>
    <w:rsid w:val="6F1E65D4"/>
    <w:rsid w:val="6F266C86"/>
    <w:rsid w:val="6F5042C2"/>
    <w:rsid w:val="74316312"/>
    <w:rsid w:val="780F13C8"/>
    <w:rsid w:val="7C385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33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552</Words>
  <Characters>3152</Characters>
  <Lines>26</Lines>
  <Paragraphs>7</Paragraphs>
  <TotalTime>2</TotalTime>
  <ScaleCrop>false</ScaleCrop>
  <LinksUpToDate>false</LinksUpToDate>
  <CharactersWithSpaces>3697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2019-09-02T14:38:00Z</dcterms:created>
  <dc:creator>juvg</dc:creator>
  <cp:lastModifiedBy>Administrator</cp:lastModifiedBy>
  <dcterms:modified xsi:type="dcterms:W3CDTF">2019-09-05T07:27:44Z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