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1120013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21022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专升本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B20-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8917150052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首饰设计</w:t>
            </w:r>
            <w:bookmarkStart w:id="0" w:name="_GoBack"/>
            <w:bookmarkEnd w:id="0"/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王潮 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17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auto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B7BEF085"/>
    <w:rsid w:val="DE9DAB4B"/>
    <w:rsid w:val="EB96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2018-01-07T14:48:00Z</dcterms:created>
  <dc:creator>*****</dc:creator>
  <cp:lastModifiedBy>娑婆行者</cp:lastModifiedBy>
  <cp:lastPrinted>2022-02-19T03:18:00Z</cp:lastPrinted>
  <dcterms:modified xsi:type="dcterms:W3CDTF">2023-02-17T22:38:17Z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54FEA64A8AC594B13489EF6348408C65</vt:lpwstr>
  </property>
</Properties>
</file>